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38B6399" w:rsidR="00E90E49" w:rsidRPr="001E7AD0" w:rsidRDefault="00E90E49" w:rsidP="00FF09B0">
      <w:pPr>
        <w:pStyle w:val="3GPPHeader"/>
        <w:spacing w:after="60"/>
        <w:rPr>
          <w:sz w:val="32"/>
          <w:szCs w:val="32"/>
          <w:highlight w:val="yellow"/>
        </w:rPr>
      </w:pPr>
      <w:r w:rsidRPr="001E7AD0">
        <w:t>3GPP TSG-RAN WG</w:t>
      </w:r>
      <w:r w:rsidR="008F1C4E" w:rsidRPr="001E7AD0">
        <w:t>1</w:t>
      </w:r>
      <w:r w:rsidRPr="001E7AD0">
        <w:t xml:space="preserve"> </w:t>
      </w:r>
      <w:r w:rsidR="008F1C4E" w:rsidRPr="001E7AD0">
        <w:t xml:space="preserve">Meeting </w:t>
      </w:r>
      <w:r w:rsidRPr="001E7AD0">
        <w:t>#</w:t>
      </w:r>
      <w:r w:rsidR="00D66AD1" w:rsidRPr="001E7AD0">
        <w:t>10</w:t>
      </w:r>
      <w:r w:rsidR="005C7925" w:rsidRPr="001E7AD0">
        <w:t>7</w:t>
      </w:r>
      <w:r w:rsidR="007E4F91" w:rsidRPr="001E7AD0">
        <w:t>-e</w:t>
      </w:r>
      <w:r w:rsidRPr="001E7AD0">
        <w:tab/>
      </w:r>
      <w:r w:rsidR="001D6832" w:rsidRPr="001E7AD0">
        <w:rPr>
          <w:sz w:val="32"/>
          <w:szCs w:val="32"/>
        </w:rPr>
        <w:t>R1-21</w:t>
      </w:r>
      <w:r w:rsidR="008A29DA" w:rsidRPr="001E7AD0">
        <w:rPr>
          <w:sz w:val="32"/>
          <w:szCs w:val="32"/>
        </w:rPr>
        <w:t>12357</w:t>
      </w:r>
    </w:p>
    <w:p w14:paraId="0CE7B7E6" w14:textId="51E4BD8C" w:rsidR="00E90E49" w:rsidRPr="001E7AD0" w:rsidRDefault="007E4F91" w:rsidP="00FF09B0">
      <w:pPr>
        <w:pStyle w:val="3GPPHeader"/>
      </w:pPr>
      <w:r w:rsidRPr="001E7AD0">
        <w:t>Online</w:t>
      </w:r>
      <w:r w:rsidR="0027144F" w:rsidRPr="001E7AD0">
        <w:t>,</w:t>
      </w:r>
      <w:r w:rsidRPr="001E7AD0">
        <w:t xml:space="preserve"> </w:t>
      </w:r>
      <w:r w:rsidR="005C7925" w:rsidRPr="001E7AD0">
        <w:t>November</w:t>
      </w:r>
      <w:r w:rsidR="0027144F" w:rsidRPr="001E7AD0">
        <w:t xml:space="preserve"> </w:t>
      </w:r>
      <w:r w:rsidRPr="001E7AD0">
        <w:t>11</w:t>
      </w:r>
      <w:r w:rsidR="001D53E7" w:rsidRPr="001E7AD0">
        <w:rPr>
          <w:vertAlign w:val="superscript"/>
        </w:rPr>
        <w:t>th</w:t>
      </w:r>
      <w:r w:rsidRPr="001E7AD0">
        <w:t xml:space="preserve"> </w:t>
      </w:r>
      <w:r w:rsidR="001D53E7" w:rsidRPr="001E7AD0">
        <w:t xml:space="preserve">– </w:t>
      </w:r>
      <w:r w:rsidRPr="001E7AD0">
        <w:t>19</w:t>
      </w:r>
      <w:r w:rsidR="001D53E7" w:rsidRPr="001E7AD0">
        <w:rPr>
          <w:vertAlign w:val="superscript"/>
        </w:rPr>
        <w:t>th</w:t>
      </w:r>
      <w:r w:rsidRPr="001E7AD0">
        <w:t xml:space="preserve"> </w:t>
      </w:r>
      <w:r w:rsidR="0027144F" w:rsidRPr="001E7AD0">
        <w:t>20</w:t>
      </w:r>
      <w:r w:rsidRPr="001E7AD0">
        <w:t>21</w:t>
      </w:r>
    </w:p>
    <w:p w14:paraId="3086AC07" w14:textId="77777777" w:rsidR="00E90E49" w:rsidRPr="001E7AD0" w:rsidRDefault="00E90E49" w:rsidP="00FF09B0">
      <w:pPr>
        <w:pStyle w:val="3GPPHeader"/>
      </w:pPr>
    </w:p>
    <w:p w14:paraId="3982483C" w14:textId="6482DE82" w:rsidR="00E90E49" w:rsidRPr="001E7AD0" w:rsidRDefault="00E90E49" w:rsidP="00FF09B0">
      <w:pPr>
        <w:pStyle w:val="3GPPHeader"/>
        <w:rPr>
          <w:sz w:val="22"/>
        </w:rPr>
      </w:pPr>
      <w:r w:rsidRPr="001E7AD0">
        <w:rPr>
          <w:sz w:val="22"/>
        </w:rPr>
        <w:t>Agenda Item:</w:t>
      </w:r>
      <w:r w:rsidRPr="001E7AD0">
        <w:rPr>
          <w:sz w:val="22"/>
        </w:rPr>
        <w:tab/>
      </w:r>
      <w:r w:rsidR="007E4F91" w:rsidRPr="001E7AD0">
        <w:rPr>
          <w:sz w:val="22"/>
        </w:rPr>
        <w:t>8.10.2</w:t>
      </w:r>
    </w:p>
    <w:p w14:paraId="5619E868" w14:textId="77777777" w:rsidR="00E90E49" w:rsidRPr="001E7AD0" w:rsidRDefault="003D3C45" w:rsidP="00FF09B0">
      <w:pPr>
        <w:pStyle w:val="3GPPHeader"/>
        <w:rPr>
          <w:sz w:val="22"/>
        </w:rPr>
      </w:pPr>
      <w:r w:rsidRPr="001E7AD0">
        <w:rPr>
          <w:sz w:val="22"/>
        </w:rPr>
        <w:t>Source:</w:t>
      </w:r>
      <w:r w:rsidR="00E90E49" w:rsidRPr="001E7AD0">
        <w:rPr>
          <w:sz w:val="22"/>
        </w:rPr>
        <w:tab/>
      </w:r>
      <w:r w:rsidR="00F64C2B" w:rsidRPr="001E7AD0">
        <w:rPr>
          <w:sz w:val="22"/>
        </w:rPr>
        <w:t>Ericsson</w:t>
      </w:r>
    </w:p>
    <w:p w14:paraId="3AF5C9FA" w14:textId="4F48942D" w:rsidR="00E90E49" w:rsidRPr="001E7AD0" w:rsidRDefault="003D3C45" w:rsidP="00FF09B0">
      <w:pPr>
        <w:pStyle w:val="3GPPHeader"/>
        <w:rPr>
          <w:sz w:val="22"/>
        </w:rPr>
      </w:pPr>
      <w:r w:rsidRPr="001E7AD0">
        <w:rPr>
          <w:sz w:val="22"/>
        </w:rPr>
        <w:t>Title:</w:t>
      </w:r>
      <w:r w:rsidR="00E90E49" w:rsidRPr="001E7AD0">
        <w:rPr>
          <w:sz w:val="22"/>
        </w:rPr>
        <w:tab/>
      </w:r>
      <w:r w:rsidR="007E4F91" w:rsidRPr="001E7AD0">
        <w:rPr>
          <w:sz w:val="22"/>
        </w:rPr>
        <w:t>Timing and power control in enhanced IAB</w:t>
      </w:r>
    </w:p>
    <w:p w14:paraId="025260C1" w14:textId="77777777" w:rsidR="00E90E49" w:rsidRPr="001E7AD0" w:rsidRDefault="00E90E49" w:rsidP="00FF09B0">
      <w:pPr>
        <w:pStyle w:val="3GPPHeader"/>
        <w:rPr>
          <w:sz w:val="22"/>
        </w:rPr>
      </w:pPr>
      <w:r w:rsidRPr="001E7AD0">
        <w:rPr>
          <w:sz w:val="22"/>
        </w:rPr>
        <w:t>Document for:</w:t>
      </w:r>
      <w:r w:rsidRPr="001E7AD0">
        <w:rPr>
          <w:sz w:val="22"/>
        </w:rPr>
        <w:tab/>
        <w:t>Discussion, Decision</w:t>
      </w:r>
    </w:p>
    <w:p w14:paraId="2D5672ED" w14:textId="77777777" w:rsidR="00E90E49" w:rsidRPr="001E7AD0" w:rsidRDefault="00E90E49" w:rsidP="00FF09B0">
      <w:pPr>
        <w:jc w:val="both"/>
      </w:pPr>
    </w:p>
    <w:p w14:paraId="6883CB62" w14:textId="6D5A3D3C" w:rsidR="00E90E49" w:rsidRPr="001E7AD0" w:rsidRDefault="00E90E49" w:rsidP="00FF09B0">
      <w:pPr>
        <w:pStyle w:val="Heading1"/>
        <w:jc w:val="both"/>
        <w:rPr>
          <w:lang w:val="en-US"/>
        </w:rPr>
      </w:pPr>
      <w:r w:rsidRPr="001E7AD0">
        <w:rPr>
          <w:lang w:val="en-US"/>
        </w:rPr>
        <w:t>Introduction</w:t>
      </w:r>
    </w:p>
    <w:p w14:paraId="20F871CC" w14:textId="48FCC666" w:rsidR="00EF24FC" w:rsidRPr="001E7AD0" w:rsidRDefault="00EF24FC" w:rsidP="00FF09B0">
      <w:pPr>
        <w:pStyle w:val="BodyText"/>
      </w:pPr>
      <w:r w:rsidRPr="001E7AD0">
        <w:rPr>
          <w:rFonts w:cs="Arial"/>
          <w:szCs w:val="20"/>
        </w:rPr>
        <w:t xml:space="preserve">The WID for enhanced IAB specifies the following objectives of IAB work item regarding </w:t>
      </w:r>
      <w:r w:rsidR="0020441F" w:rsidRPr="001E7AD0">
        <w:rPr>
          <w:rFonts w:cs="Arial"/>
          <w:szCs w:val="20"/>
        </w:rPr>
        <w:t>support for simultaneous operation</w:t>
      </w:r>
      <w:r w:rsidRPr="001E7AD0">
        <w:rPr>
          <w:rFonts w:cs="Arial"/>
          <w:szCs w:val="20"/>
        </w:rPr>
        <w:t xml:space="preserve"> </w:t>
      </w:r>
      <w:r w:rsidR="00046142" w:rsidRPr="001E7AD0">
        <w:rPr>
          <w:rFonts w:cs="Arial"/>
          <w:szCs w:val="20"/>
        </w:rPr>
        <w:fldChar w:fldCharType="begin"/>
      </w:r>
      <w:r w:rsidR="00046142" w:rsidRPr="001E7AD0">
        <w:rPr>
          <w:rFonts w:cs="Arial"/>
          <w:szCs w:val="20"/>
        </w:rPr>
        <w:instrText xml:space="preserve"> REF _Ref77157032 \w \h </w:instrText>
      </w:r>
      <w:r w:rsidR="00231096" w:rsidRPr="001E7AD0">
        <w:rPr>
          <w:rFonts w:cs="Arial"/>
          <w:szCs w:val="20"/>
        </w:rPr>
        <w:instrText xml:space="preserve"> \* MERGEFORMAT </w:instrText>
      </w:r>
      <w:r w:rsidR="00046142" w:rsidRPr="001E7AD0">
        <w:rPr>
          <w:rFonts w:cs="Arial"/>
          <w:szCs w:val="20"/>
        </w:rPr>
      </w:r>
      <w:r w:rsidR="00046142" w:rsidRPr="001E7AD0">
        <w:rPr>
          <w:rFonts w:cs="Arial"/>
          <w:szCs w:val="20"/>
        </w:rPr>
        <w:fldChar w:fldCharType="separate"/>
      </w:r>
      <w:r w:rsidR="001853DE">
        <w:rPr>
          <w:rFonts w:cs="Arial"/>
          <w:szCs w:val="20"/>
        </w:rPr>
        <w:t>[1]</w:t>
      </w:r>
      <w:r w:rsidR="00046142" w:rsidRPr="001E7AD0">
        <w:rPr>
          <w:rFonts w:cs="Arial"/>
          <w:szCs w:val="20"/>
        </w:rPr>
        <w:fldChar w:fldCharType="end"/>
      </w:r>
      <w:r w:rsidRPr="001E7AD0">
        <w:rPr>
          <w:rFonts w:cs="Arial"/>
          <w:szCs w:val="20"/>
        </w:rPr>
        <w:t>:</w:t>
      </w:r>
    </w:p>
    <w:tbl>
      <w:tblPr>
        <w:tblStyle w:val="TableGrid"/>
        <w:tblW w:w="0" w:type="auto"/>
        <w:tblLook w:val="04A0" w:firstRow="1" w:lastRow="0" w:firstColumn="1" w:lastColumn="0" w:noHBand="0" w:noVBand="1"/>
      </w:tblPr>
      <w:tblGrid>
        <w:gridCol w:w="9629"/>
      </w:tblGrid>
      <w:tr w:rsidR="00942CC2" w:rsidRPr="001E7AD0" w14:paraId="20091D11" w14:textId="77777777" w:rsidTr="00EF24FC">
        <w:tc>
          <w:tcPr>
            <w:tcW w:w="9629" w:type="dxa"/>
          </w:tcPr>
          <w:p w14:paraId="538A0827" w14:textId="50DDEF55" w:rsidR="00EF24FC" w:rsidRPr="001E7AD0" w:rsidRDefault="00EF24FC" w:rsidP="00FF09B0">
            <w:pPr>
              <w:pStyle w:val="BodyText"/>
              <w:spacing w:before="240"/>
            </w:pPr>
            <w:r w:rsidRPr="001E7AD0">
              <w:rPr>
                <w:sz w:val="20"/>
                <w:szCs w:val="16"/>
              </w:rPr>
              <w:t>Specification of IAB-node timing mode(s), extensions for DL/UL power control, and CLI and interference measurements of BH links, as needed, to support simultaneous operation (transmission and/or reception) by IAB-node’s child and parent links.</w:t>
            </w:r>
          </w:p>
        </w:tc>
      </w:tr>
    </w:tbl>
    <w:p w14:paraId="231E64EA" w14:textId="4655A72B" w:rsidR="00477768" w:rsidRPr="001E7AD0" w:rsidRDefault="0020441F" w:rsidP="00FF09B0">
      <w:pPr>
        <w:pStyle w:val="BodyText"/>
        <w:spacing w:before="240"/>
      </w:pPr>
      <w:r w:rsidRPr="001E7AD0">
        <w:rPr>
          <w:rFonts w:cs="Arial"/>
          <w:szCs w:val="20"/>
        </w:rPr>
        <w:t>In this contribution, we present our views on the potential enhancements to timing, interference management and power control to support simultaneous operation. Please see</w:t>
      </w:r>
      <w:r w:rsidR="00046142" w:rsidRPr="001E7AD0">
        <w:rPr>
          <w:rFonts w:cs="Arial"/>
          <w:szCs w:val="20"/>
        </w:rPr>
        <w:t xml:space="preserve"> </w:t>
      </w:r>
      <w:r w:rsidR="00046142" w:rsidRPr="001E7AD0">
        <w:rPr>
          <w:rFonts w:cs="Arial"/>
          <w:szCs w:val="20"/>
        </w:rPr>
        <w:fldChar w:fldCharType="begin"/>
      </w:r>
      <w:r w:rsidR="00046142" w:rsidRPr="001E7AD0">
        <w:rPr>
          <w:rFonts w:cs="Arial"/>
          <w:szCs w:val="20"/>
        </w:rPr>
        <w:instrText xml:space="preserve"> REF _Ref77157282 \w \h </w:instrText>
      </w:r>
      <w:r w:rsidR="00231096" w:rsidRPr="001E7AD0">
        <w:rPr>
          <w:rFonts w:cs="Arial"/>
          <w:szCs w:val="20"/>
        </w:rPr>
        <w:instrText xml:space="preserve"> \* MERGEFORMAT </w:instrText>
      </w:r>
      <w:r w:rsidR="00046142" w:rsidRPr="001E7AD0">
        <w:rPr>
          <w:rFonts w:cs="Arial"/>
          <w:szCs w:val="20"/>
        </w:rPr>
      </w:r>
      <w:r w:rsidR="00046142" w:rsidRPr="001E7AD0">
        <w:rPr>
          <w:rFonts w:cs="Arial"/>
          <w:szCs w:val="20"/>
        </w:rPr>
        <w:fldChar w:fldCharType="separate"/>
      </w:r>
      <w:r w:rsidR="001853DE">
        <w:rPr>
          <w:rFonts w:cs="Arial"/>
          <w:szCs w:val="20"/>
        </w:rPr>
        <w:t>[2]</w:t>
      </w:r>
      <w:r w:rsidR="00046142" w:rsidRPr="001E7AD0">
        <w:rPr>
          <w:rFonts w:cs="Arial"/>
          <w:szCs w:val="20"/>
        </w:rPr>
        <w:fldChar w:fldCharType="end"/>
      </w:r>
      <w:r w:rsidRPr="001E7AD0">
        <w:rPr>
          <w:rFonts w:cs="Arial"/>
          <w:szCs w:val="20"/>
        </w:rPr>
        <w:t xml:space="preserve"> for our accompanying contribution discussing </w:t>
      </w:r>
      <w:r w:rsidR="0028219A" w:rsidRPr="001E7AD0">
        <w:rPr>
          <w:rFonts w:cs="Arial"/>
          <w:szCs w:val="20"/>
        </w:rPr>
        <w:t>resource multiplexing and RRC parameters</w:t>
      </w:r>
      <w:r w:rsidRPr="001E7AD0">
        <w:rPr>
          <w:rFonts w:cs="Arial"/>
          <w:szCs w:val="20"/>
        </w:rPr>
        <w:t>.</w:t>
      </w:r>
    </w:p>
    <w:p w14:paraId="60123794" w14:textId="1F150F14" w:rsidR="004000E8" w:rsidRPr="001E7AD0" w:rsidRDefault="00C60B65" w:rsidP="00FF09B0">
      <w:pPr>
        <w:pStyle w:val="Heading1"/>
        <w:jc w:val="both"/>
        <w:rPr>
          <w:lang w:val="en-US"/>
        </w:rPr>
      </w:pPr>
      <w:r w:rsidRPr="001E7AD0">
        <w:rPr>
          <w:lang w:val="en-US"/>
        </w:rPr>
        <w:t>Timing</w:t>
      </w:r>
    </w:p>
    <w:p w14:paraId="6A7CE954" w14:textId="5BF6483D" w:rsidR="006E3F02" w:rsidRPr="001E7AD0" w:rsidRDefault="006E3F02" w:rsidP="006E3F02">
      <w:pPr>
        <w:jc w:val="both"/>
      </w:pPr>
      <w:r w:rsidRPr="001E7AD0">
        <w:t xml:space="preserve">The following timing related agreement were made in RAN1 #103-e </w:t>
      </w:r>
      <w:r w:rsidR="00065C2E" w:rsidRPr="001E7AD0">
        <w:fldChar w:fldCharType="begin"/>
      </w:r>
      <w:r w:rsidR="00065C2E" w:rsidRPr="001E7AD0">
        <w:instrText xml:space="preserve"> REF _Ref83978650 \w \h </w:instrText>
      </w:r>
      <w:r w:rsidR="002B056E" w:rsidRPr="001E7AD0">
        <w:instrText xml:space="preserve"> \* MERGEFORMAT </w:instrText>
      </w:r>
      <w:r w:rsidR="00065C2E" w:rsidRPr="001E7AD0">
        <w:fldChar w:fldCharType="separate"/>
      </w:r>
      <w:r w:rsidR="001853DE">
        <w:t>[3]</w:t>
      </w:r>
      <w:r w:rsidR="00065C2E" w:rsidRPr="001E7AD0">
        <w:fldChar w:fldCharType="end"/>
      </w:r>
      <w:r w:rsidRPr="001E7AD0">
        <w:t>:</w:t>
      </w:r>
    </w:p>
    <w:tbl>
      <w:tblPr>
        <w:tblStyle w:val="TableGrid"/>
        <w:tblW w:w="0" w:type="auto"/>
        <w:tblLook w:val="04A0" w:firstRow="1" w:lastRow="0" w:firstColumn="1" w:lastColumn="0" w:noHBand="0" w:noVBand="1"/>
      </w:tblPr>
      <w:tblGrid>
        <w:gridCol w:w="9629"/>
      </w:tblGrid>
      <w:tr w:rsidR="006E3F02" w:rsidRPr="001E7AD0" w14:paraId="1DD6D863" w14:textId="77777777" w:rsidTr="0086618B">
        <w:tc>
          <w:tcPr>
            <w:tcW w:w="9629" w:type="dxa"/>
          </w:tcPr>
          <w:p w14:paraId="38FA4390" w14:textId="7169C548" w:rsidR="006E3F02" w:rsidRPr="001E7AD0" w:rsidRDefault="006E3F02" w:rsidP="006E3F02">
            <w:pPr>
              <w:rPr>
                <w:rFonts w:cs="Arial"/>
                <w:sz w:val="20"/>
                <w:szCs w:val="20"/>
                <w:lang w:eastAsia="ja-JP"/>
              </w:rPr>
            </w:pPr>
            <w:r w:rsidRPr="001E7AD0">
              <w:rPr>
                <w:rFonts w:cs="Arial"/>
                <w:b/>
                <w:bCs/>
                <w:sz w:val="20"/>
                <w:szCs w:val="20"/>
                <w:highlight w:val="green"/>
              </w:rPr>
              <w:t>Agreement</w:t>
            </w:r>
            <w:r w:rsidR="001D37C4" w:rsidRPr="001E7AD0">
              <w:rPr>
                <w:rFonts w:cs="Arial"/>
                <w:sz w:val="20"/>
                <w:szCs w:val="20"/>
                <w:lang w:eastAsia="ja-JP"/>
              </w:rPr>
              <w:br/>
            </w:r>
            <w:r w:rsidRPr="001E7AD0">
              <w:rPr>
                <w:rFonts w:cs="Arial"/>
                <w:sz w:val="20"/>
                <w:szCs w:val="20"/>
                <w:lang w:eastAsia="ja-JP"/>
              </w:rPr>
              <w:t>An IAB-node can rely on an OTA timing synchronization mechanism to enable/maintain Case 6 timing mode</w:t>
            </w:r>
          </w:p>
          <w:p w14:paraId="0C4904C7" w14:textId="77777777" w:rsidR="004B3C56" w:rsidRPr="001E7AD0" w:rsidRDefault="006E3F02" w:rsidP="00632D4A">
            <w:pPr>
              <w:pStyle w:val="ListParagraph"/>
              <w:numPr>
                <w:ilvl w:val="0"/>
                <w:numId w:val="48"/>
              </w:numPr>
              <w:rPr>
                <w:rFonts w:ascii="Arial" w:eastAsiaTheme="minorHAnsi" w:hAnsi="Arial" w:cs="Arial"/>
                <w:sz w:val="20"/>
                <w:szCs w:val="20"/>
                <w:lang w:val="en-US" w:eastAsia="ja-JP"/>
              </w:rPr>
            </w:pPr>
            <w:r w:rsidRPr="001E7AD0">
              <w:rPr>
                <w:rFonts w:ascii="Arial" w:hAnsi="Arial" w:cs="Arial"/>
                <w:sz w:val="20"/>
                <w:szCs w:val="20"/>
                <w:lang w:val="en-US" w:eastAsia="ja-JP"/>
              </w:rPr>
              <w:t xml:space="preserve">FFS whether the Rel-16 OTA synchronization mechanism is </w:t>
            </w:r>
            <w:proofErr w:type="gramStart"/>
            <w:r w:rsidRPr="001E7AD0">
              <w:rPr>
                <w:rFonts w:ascii="Arial" w:hAnsi="Arial" w:cs="Arial"/>
                <w:sz w:val="20"/>
                <w:szCs w:val="20"/>
                <w:lang w:val="en-US" w:eastAsia="ja-JP"/>
              </w:rPr>
              <w:t>sufficient</w:t>
            </w:r>
            <w:proofErr w:type="gramEnd"/>
            <w:r w:rsidRPr="001E7AD0">
              <w:rPr>
                <w:rFonts w:ascii="Arial" w:hAnsi="Arial" w:cs="Arial"/>
                <w:sz w:val="20"/>
                <w:szCs w:val="20"/>
                <w:lang w:val="en-US" w:eastAsia="ja-JP"/>
              </w:rPr>
              <w:t xml:space="preserve"> or enhancements are required</w:t>
            </w:r>
          </w:p>
          <w:p w14:paraId="5C009812" w14:textId="7DD3166C" w:rsidR="006E3F02" w:rsidRPr="001E7AD0" w:rsidRDefault="006E3F02" w:rsidP="004B3C56">
            <w:pPr>
              <w:pStyle w:val="ListParagraph"/>
              <w:numPr>
                <w:ilvl w:val="1"/>
                <w:numId w:val="48"/>
              </w:numPr>
              <w:rPr>
                <w:lang w:val="en-US" w:eastAsia="ja-JP"/>
              </w:rPr>
            </w:pPr>
            <w:r w:rsidRPr="001E7AD0">
              <w:rPr>
                <w:rFonts w:ascii="Arial" w:eastAsiaTheme="minorHAnsi" w:hAnsi="Arial" w:cs="Arial"/>
                <w:sz w:val="20"/>
                <w:szCs w:val="20"/>
                <w:lang w:val="en-US" w:eastAsia="ja-JP"/>
              </w:rPr>
              <w:t>If required, details of enhancements including the uplink timing(s) required to support different timing</w:t>
            </w:r>
            <w:r w:rsidR="004B3C56" w:rsidRPr="001E7AD0">
              <w:rPr>
                <w:rFonts w:ascii="Arial" w:eastAsiaTheme="minorHAnsi" w:hAnsi="Arial" w:cs="Arial"/>
                <w:sz w:val="20"/>
                <w:szCs w:val="20"/>
                <w:lang w:val="en-US" w:eastAsia="ja-JP"/>
              </w:rPr>
              <w:t xml:space="preserve"> </w:t>
            </w:r>
            <w:r w:rsidRPr="001E7AD0">
              <w:rPr>
                <w:rFonts w:ascii="Arial" w:eastAsiaTheme="minorHAnsi" w:hAnsi="Arial" w:cs="Arial"/>
                <w:sz w:val="20"/>
                <w:szCs w:val="20"/>
                <w:lang w:val="en-US" w:eastAsia="ja-JP"/>
              </w:rPr>
              <w:t>alignment cases</w:t>
            </w:r>
          </w:p>
        </w:tc>
      </w:tr>
    </w:tbl>
    <w:p w14:paraId="13BCEBE2" w14:textId="7586BCB2" w:rsidR="006E3F02" w:rsidRPr="001E7AD0" w:rsidRDefault="00373986" w:rsidP="00F822D6">
      <w:pPr>
        <w:spacing w:before="240"/>
      </w:pPr>
      <w:r w:rsidRPr="001E7AD0">
        <w:t xml:space="preserve">The following timing related agreements were made in RAN1 #106-bis-e </w:t>
      </w:r>
      <w:r w:rsidRPr="001E7AD0">
        <w:fldChar w:fldCharType="begin"/>
      </w:r>
      <w:r w:rsidRPr="001E7AD0">
        <w:instrText xml:space="preserve"> REF _Ref77157742 \w \h </w:instrText>
      </w:r>
      <w:r w:rsidR="00F822D6" w:rsidRPr="001E7AD0">
        <w:instrText xml:space="preserve"> \* MERGEFORMAT </w:instrText>
      </w:r>
      <w:r w:rsidRPr="001E7AD0">
        <w:fldChar w:fldCharType="separate"/>
      </w:r>
      <w:r w:rsidR="001853DE">
        <w:t>[4]</w:t>
      </w:r>
      <w:r w:rsidRPr="001E7AD0">
        <w:fldChar w:fldCharType="end"/>
      </w:r>
      <w:r w:rsidRPr="001E7AD0">
        <w:t>:</w:t>
      </w:r>
    </w:p>
    <w:tbl>
      <w:tblPr>
        <w:tblStyle w:val="TableGrid"/>
        <w:tblW w:w="0" w:type="auto"/>
        <w:tblLook w:val="04A0" w:firstRow="1" w:lastRow="0" w:firstColumn="1" w:lastColumn="0" w:noHBand="0" w:noVBand="1"/>
      </w:tblPr>
      <w:tblGrid>
        <w:gridCol w:w="9629"/>
      </w:tblGrid>
      <w:tr w:rsidR="00877465" w:rsidRPr="001E7AD0" w14:paraId="072340A6" w14:textId="77777777" w:rsidTr="00877465">
        <w:tc>
          <w:tcPr>
            <w:tcW w:w="9629" w:type="dxa"/>
          </w:tcPr>
          <w:p w14:paraId="395B9075" w14:textId="77C18A03" w:rsidR="00877465" w:rsidRPr="001E7AD0" w:rsidRDefault="00877465" w:rsidP="00877465">
            <w:pPr>
              <w:rPr>
                <w:rFonts w:cs="Arial"/>
                <w:bCs/>
                <w:sz w:val="20"/>
                <w:szCs w:val="20"/>
              </w:rPr>
            </w:pPr>
            <w:r w:rsidRPr="001E7AD0">
              <w:rPr>
                <w:rFonts w:cs="Arial"/>
                <w:b/>
                <w:sz w:val="20"/>
                <w:szCs w:val="20"/>
                <w:highlight w:val="green"/>
              </w:rPr>
              <w:t>Agreement</w:t>
            </w:r>
            <w:r w:rsidR="001D37C4" w:rsidRPr="001E7AD0">
              <w:rPr>
                <w:rFonts w:cs="Arial"/>
                <w:bCs/>
                <w:sz w:val="20"/>
                <w:szCs w:val="20"/>
              </w:rPr>
              <w:br/>
            </w:r>
            <w:r w:rsidRPr="001E7AD0">
              <w:rPr>
                <w:rFonts w:cs="Arial"/>
                <w:bCs/>
                <w:sz w:val="20"/>
                <w:szCs w:val="20"/>
              </w:rPr>
              <w:t>Case 7 UL timing offset is indicated by the parent-node via MAC-CE.</w:t>
            </w:r>
          </w:p>
          <w:p w14:paraId="08D297EE" w14:textId="79550206" w:rsidR="00877465" w:rsidRPr="001E7AD0" w:rsidRDefault="00877465" w:rsidP="00877465">
            <w:pPr>
              <w:rPr>
                <w:rFonts w:cs="Arial"/>
                <w:bCs/>
                <w:sz w:val="20"/>
                <w:szCs w:val="20"/>
              </w:rPr>
            </w:pPr>
            <w:r w:rsidRPr="001E7AD0">
              <w:rPr>
                <w:rFonts w:cs="Arial"/>
                <w:b/>
                <w:sz w:val="20"/>
                <w:szCs w:val="20"/>
                <w:highlight w:val="green"/>
              </w:rPr>
              <w:t>Agreement</w:t>
            </w:r>
            <w:r w:rsidR="001D37C4" w:rsidRPr="001E7AD0">
              <w:rPr>
                <w:rFonts w:cs="Arial"/>
                <w:bCs/>
                <w:sz w:val="20"/>
                <w:szCs w:val="20"/>
              </w:rPr>
              <w:br/>
            </w:r>
            <w:r w:rsidRPr="001E7AD0">
              <w:rPr>
                <w:rFonts w:cs="Arial"/>
                <w:bCs/>
                <w:sz w:val="20"/>
                <w:szCs w:val="20"/>
              </w:rPr>
              <w:t>The granularity of Case 7 UL timing offset is the same as the UL TA granularity.</w:t>
            </w:r>
          </w:p>
          <w:p w14:paraId="367B6246" w14:textId="0C2F89C3" w:rsidR="00877465" w:rsidRPr="001E7AD0" w:rsidRDefault="00877465" w:rsidP="00877465">
            <w:pPr>
              <w:rPr>
                <w:rFonts w:cs="Arial"/>
                <w:sz w:val="20"/>
                <w:szCs w:val="20"/>
                <w:lang w:eastAsia="ja-JP"/>
              </w:rPr>
            </w:pPr>
            <w:r w:rsidRPr="001E7AD0">
              <w:rPr>
                <w:rFonts w:cs="Arial"/>
                <w:b/>
                <w:bCs/>
                <w:sz w:val="20"/>
                <w:szCs w:val="20"/>
                <w:highlight w:val="green"/>
              </w:rPr>
              <w:t>Agreement</w:t>
            </w:r>
            <w:r w:rsidR="001D37C4" w:rsidRPr="001E7AD0">
              <w:rPr>
                <w:rFonts w:cs="Arial"/>
                <w:sz w:val="20"/>
                <w:szCs w:val="20"/>
                <w:lang w:eastAsia="ja-JP"/>
              </w:rPr>
              <w:br/>
            </w:r>
            <w:r w:rsidRPr="001E7AD0">
              <w:rPr>
                <w:rFonts w:cs="Arial"/>
                <w:sz w:val="20"/>
                <w:szCs w:val="20"/>
                <w:lang w:eastAsia="ja-JP"/>
              </w:rPr>
              <w:t xml:space="preserve">RAN1 to </w:t>
            </w:r>
            <w:proofErr w:type="spellStart"/>
            <w:r w:rsidRPr="001E7AD0">
              <w:rPr>
                <w:rFonts w:cs="Arial"/>
                <w:sz w:val="20"/>
                <w:szCs w:val="20"/>
                <w:lang w:eastAsia="ja-JP"/>
              </w:rPr>
              <w:t>downselect</w:t>
            </w:r>
            <w:proofErr w:type="spellEnd"/>
            <w:r w:rsidRPr="001E7AD0">
              <w:rPr>
                <w:rFonts w:cs="Arial"/>
                <w:sz w:val="20"/>
                <w:szCs w:val="20"/>
                <w:lang w:eastAsia="ja-JP"/>
              </w:rPr>
              <w:t xml:space="preserve"> in RAN1#107-e one of the following for an OTA timing synchronization mechanism to enable/maintain Case 6 timing mode:</w:t>
            </w:r>
          </w:p>
          <w:p w14:paraId="754F3697" w14:textId="1667988D" w:rsidR="00877465" w:rsidRPr="001E7AD0" w:rsidRDefault="00877465" w:rsidP="00877465">
            <w:pPr>
              <w:pStyle w:val="ListParagraph"/>
              <w:numPr>
                <w:ilvl w:val="0"/>
                <w:numId w:val="46"/>
              </w:numPr>
              <w:rPr>
                <w:rFonts w:ascii="Arial" w:hAnsi="Arial" w:cs="Arial"/>
                <w:sz w:val="20"/>
                <w:szCs w:val="20"/>
                <w:lang w:val="en-US" w:eastAsia="ja-JP"/>
              </w:rPr>
            </w:pPr>
            <w:r w:rsidRPr="001E7AD0">
              <w:rPr>
                <w:rFonts w:ascii="Arial" w:hAnsi="Arial" w:cs="Arial"/>
                <w:sz w:val="20"/>
                <w:szCs w:val="20"/>
                <w:lang w:val="en-US" w:eastAsia="ja-JP"/>
              </w:rPr>
              <w:lastRenderedPageBreak/>
              <w:t>Alt 1: no change or enhancement to the Rel-16 OTA synchronization specification is supported in Rel-17 for Case 6 timing.</w:t>
            </w:r>
          </w:p>
          <w:p w14:paraId="466FDF9F" w14:textId="77777777" w:rsidR="00877465" w:rsidRPr="001E7AD0" w:rsidRDefault="00877465" w:rsidP="00877465">
            <w:pPr>
              <w:pStyle w:val="ListParagraph"/>
              <w:numPr>
                <w:ilvl w:val="0"/>
                <w:numId w:val="46"/>
              </w:numPr>
              <w:rPr>
                <w:rFonts w:ascii="Arial" w:hAnsi="Arial" w:cs="Arial"/>
                <w:sz w:val="20"/>
                <w:szCs w:val="20"/>
                <w:lang w:val="en-US" w:eastAsia="ja-JP"/>
              </w:rPr>
            </w:pPr>
            <w:r w:rsidRPr="001E7AD0">
              <w:rPr>
                <w:rFonts w:ascii="Arial" w:hAnsi="Arial" w:cs="Arial"/>
                <w:sz w:val="20"/>
                <w:szCs w:val="20"/>
                <w:lang w:val="en-US" w:eastAsia="ja-JP"/>
              </w:rPr>
              <w:t xml:space="preserve">Alt 2: in Rel-17 the Rel-16 OTA synchronization specification is updated to support OTA synchronization for an IAB-node operating solely in Case 6 timing during IAB-MT Tx. </w:t>
            </w:r>
          </w:p>
          <w:p w14:paraId="63E58548" w14:textId="10131095" w:rsidR="00877465" w:rsidRPr="001E7AD0" w:rsidRDefault="00877465" w:rsidP="000306CB">
            <w:pPr>
              <w:pStyle w:val="ListParagraph"/>
              <w:numPr>
                <w:ilvl w:val="1"/>
                <w:numId w:val="46"/>
              </w:numPr>
              <w:rPr>
                <w:rFonts w:cs="Arial"/>
                <w:sz w:val="20"/>
                <w:szCs w:val="20"/>
                <w:lang w:val="en-US" w:eastAsia="ja-JP"/>
              </w:rPr>
            </w:pPr>
            <w:r w:rsidRPr="001E7AD0">
              <w:rPr>
                <w:rFonts w:ascii="Arial" w:hAnsi="Arial" w:cs="Arial"/>
                <w:sz w:val="20"/>
                <w:szCs w:val="20"/>
                <w:lang w:val="en-US" w:eastAsia="ja-JP"/>
              </w:rPr>
              <w:t xml:space="preserve">FFS range of </w:t>
            </w:r>
            <w:proofErr w:type="spellStart"/>
            <w:r w:rsidRPr="001E7AD0">
              <w:rPr>
                <w:rFonts w:ascii="Arial" w:hAnsi="Arial" w:cs="Arial"/>
                <w:sz w:val="20"/>
                <w:szCs w:val="20"/>
                <w:lang w:val="en-US" w:eastAsia="ja-JP"/>
              </w:rPr>
              <w:t>T_delta</w:t>
            </w:r>
            <w:proofErr w:type="spellEnd"/>
            <w:r w:rsidRPr="001E7AD0">
              <w:rPr>
                <w:rFonts w:ascii="Arial" w:hAnsi="Arial" w:cs="Arial"/>
                <w:sz w:val="20"/>
                <w:szCs w:val="20"/>
                <w:lang w:val="en-US" w:eastAsia="ja-JP"/>
              </w:rPr>
              <w:t>.</w:t>
            </w:r>
          </w:p>
          <w:p w14:paraId="717DEE13" w14:textId="07814F51" w:rsidR="006E3F02" w:rsidRPr="001E7AD0" w:rsidRDefault="00877465" w:rsidP="006E3F02">
            <w:pPr>
              <w:rPr>
                <w:lang w:eastAsia="ja-JP"/>
              </w:rPr>
            </w:pPr>
            <w:r w:rsidRPr="001E7AD0">
              <w:rPr>
                <w:rFonts w:cs="Arial"/>
                <w:sz w:val="20"/>
                <w:szCs w:val="20"/>
                <w:lang w:eastAsia="ja-JP"/>
              </w:rPr>
              <w:t>NOTE: this is to provide a feasible solution to the RAN1#103-e agreement: “An IAB-node can rely on an OTA timing synchronization mechanism to enable/maintain Case 6 timing mode”</w:t>
            </w:r>
          </w:p>
        </w:tc>
      </w:tr>
    </w:tbl>
    <w:p w14:paraId="0E00E7B5" w14:textId="77777777" w:rsidR="00877465" w:rsidRPr="001E7AD0" w:rsidRDefault="00877465" w:rsidP="000306CB"/>
    <w:p w14:paraId="364FB063" w14:textId="64912588" w:rsidR="009C1E59" w:rsidRPr="001E7AD0" w:rsidRDefault="003C75A9" w:rsidP="00D26CF0">
      <w:pPr>
        <w:pStyle w:val="Heading2"/>
        <w:rPr>
          <w:lang w:val="en-US"/>
        </w:rPr>
      </w:pPr>
      <w:r w:rsidRPr="001E7AD0">
        <w:rPr>
          <w:lang w:val="en-US"/>
        </w:rPr>
        <w:t>On the usefulness of performing MT transmissions in DL slots</w:t>
      </w:r>
    </w:p>
    <w:p w14:paraId="4F3AEA84" w14:textId="2B184CB1" w:rsidR="00285CED" w:rsidRPr="001E7AD0" w:rsidRDefault="00285CED" w:rsidP="00285CED">
      <w:pPr>
        <w:jc w:val="both"/>
      </w:pPr>
      <w:r w:rsidRPr="001E7AD0">
        <w:t xml:space="preserve">There are several reasons why the TDD patterns in </w:t>
      </w:r>
      <w:r w:rsidR="00751742" w:rsidRPr="001E7AD0">
        <w:t>many</w:t>
      </w:r>
      <w:r w:rsidRPr="001E7AD0">
        <w:t xml:space="preserve"> RAN deployments have only one UL slot (if we disregard the </w:t>
      </w:r>
      <w:r w:rsidR="00751742" w:rsidRPr="001E7AD0">
        <w:t xml:space="preserve">switching </w:t>
      </w:r>
      <w:r w:rsidRPr="001E7AD0">
        <w:t xml:space="preserve">slot with some mixed UL and DL symbols). </w:t>
      </w:r>
      <w:r w:rsidR="00444D61" w:rsidRPr="001E7AD0">
        <w:t>DDSU in FR1 or DDDSU in FR2 are common choice</w:t>
      </w:r>
      <w:r w:rsidR="00D53E12" w:rsidRPr="001E7AD0">
        <w:t>s</w:t>
      </w:r>
      <w:r w:rsidR="00444D61" w:rsidRPr="001E7AD0">
        <w:t xml:space="preserve">. </w:t>
      </w:r>
      <w:r w:rsidRPr="001E7AD0">
        <w:t xml:space="preserve">For interference reasons, it is unlikely that an operator would use a TDD pattern for an IAB deployment that is different from the </w:t>
      </w:r>
      <w:r w:rsidR="00D53E12" w:rsidRPr="001E7AD0">
        <w:t xml:space="preserve">established </w:t>
      </w:r>
      <w:r w:rsidRPr="001E7AD0">
        <w:t>network TDD pattern.</w:t>
      </w:r>
    </w:p>
    <w:p w14:paraId="1066B9C0" w14:textId="2C433379" w:rsidR="004D4950" w:rsidRPr="001E7AD0" w:rsidRDefault="004D4950" w:rsidP="000960AF">
      <w:pPr>
        <w:pStyle w:val="Observation"/>
      </w:pPr>
      <w:bookmarkStart w:id="0" w:name="_Toc87042479"/>
      <w:r w:rsidRPr="001E7AD0">
        <w:t>Many NR deployments use TDD patterns with only one UL slot.</w:t>
      </w:r>
      <w:bookmarkEnd w:id="0"/>
    </w:p>
    <w:p w14:paraId="2A38519A" w14:textId="6BCFDFFA" w:rsidR="004D4950" w:rsidRPr="001E7AD0" w:rsidRDefault="004D4950" w:rsidP="00FF09B0">
      <w:pPr>
        <w:jc w:val="both"/>
      </w:pPr>
      <w:r w:rsidRPr="001E7AD0">
        <w:t>IAB-MT</w:t>
      </w:r>
      <w:r w:rsidR="00D53E12" w:rsidRPr="001E7AD0">
        <w:t>s</w:t>
      </w:r>
      <w:r w:rsidRPr="001E7AD0">
        <w:t xml:space="preserve"> and UEs can, in principle, be co-scheduled. </w:t>
      </w:r>
      <w:r w:rsidR="00444D61" w:rsidRPr="001E7AD0">
        <w:t xml:space="preserve">However, due to </w:t>
      </w:r>
      <w:r w:rsidRPr="001E7AD0">
        <w:t>a possible half-duplex constraint of IAB-node, co-scheduling IAB-MT</w:t>
      </w:r>
      <w:r w:rsidR="00D53E12" w:rsidRPr="001E7AD0">
        <w:t>s</w:t>
      </w:r>
      <w:r w:rsidRPr="001E7AD0">
        <w:t xml:space="preserve"> and UEs at parent</w:t>
      </w:r>
      <w:r w:rsidR="009540F8" w:rsidRPr="001E7AD0">
        <w:t xml:space="preserve"> IAB-nodes</w:t>
      </w:r>
      <w:r w:rsidRPr="001E7AD0">
        <w:t xml:space="preserve"> prevent</w:t>
      </w:r>
      <w:r w:rsidR="00C75125" w:rsidRPr="001E7AD0">
        <w:t>s</w:t>
      </w:r>
      <w:r w:rsidRPr="001E7AD0">
        <w:t xml:space="preserve"> the reception of </w:t>
      </w:r>
      <w:r w:rsidR="009540F8" w:rsidRPr="001E7AD0">
        <w:t xml:space="preserve">any </w:t>
      </w:r>
      <w:r w:rsidRPr="001E7AD0">
        <w:t>UE at an IAB-node</w:t>
      </w:r>
      <w:r w:rsidR="007903EA" w:rsidRPr="001E7AD0">
        <w:t xml:space="preserve"> in the same slot</w:t>
      </w:r>
      <w:r w:rsidRPr="001E7AD0">
        <w:t xml:space="preserve"> (</w:t>
      </w:r>
      <w:r w:rsidR="00A33D5C" w:rsidRPr="001E7AD0">
        <w:t xml:space="preserve">this is </w:t>
      </w:r>
      <w:r w:rsidR="009540F8" w:rsidRPr="001E7AD0">
        <w:t>one</w:t>
      </w:r>
      <w:r w:rsidRPr="001E7AD0">
        <w:t xml:space="preserve"> reason why IAB-DU has H/S/NA </w:t>
      </w:r>
      <w:r w:rsidR="009540F8" w:rsidRPr="001E7AD0">
        <w:t>resource labels</w:t>
      </w:r>
      <w:r w:rsidRPr="001E7AD0">
        <w:t>)</w:t>
      </w:r>
      <w:r w:rsidR="009540F8" w:rsidRPr="001E7AD0">
        <w:t>.</w:t>
      </w:r>
      <w:r w:rsidR="00A66D07" w:rsidRPr="001E7AD0">
        <w:t xml:space="preserve"> </w:t>
      </w:r>
      <w:r w:rsidR="00A66D07" w:rsidRPr="001E7AD0">
        <w:fldChar w:fldCharType="begin"/>
      </w:r>
      <w:r w:rsidR="00A66D07" w:rsidRPr="001E7AD0">
        <w:instrText xml:space="preserve"> REF _Ref86853690 \h </w:instrText>
      </w:r>
      <w:r w:rsidR="00A66D07" w:rsidRPr="001E7AD0">
        <w:fldChar w:fldCharType="separate"/>
      </w:r>
      <w:r w:rsidR="001853DE" w:rsidRPr="001E7AD0">
        <w:rPr>
          <w:b/>
          <w:bCs/>
        </w:rPr>
        <w:t xml:space="preserve">Figure </w:t>
      </w:r>
      <w:r w:rsidR="001853DE">
        <w:rPr>
          <w:b/>
          <w:bCs/>
          <w:noProof/>
        </w:rPr>
        <w:t>1</w:t>
      </w:r>
      <w:r w:rsidR="00A66D07" w:rsidRPr="001E7AD0">
        <w:fldChar w:fldCharType="end"/>
      </w:r>
      <w:r w:rsidR="007903EA" w:rsidRPr="001E7AD0">
        <w:t xml:space="preserve"> illustrates the resulting multiplex</w:t>
      </w:r>
      <w:r w:rsidR="00A33D5C" w:rsidRPr="001E7AD0">
        <w:t>ing</w:t>
      </w:r>
      <w:r w:rsidR="007903EA" w:rsidRPr="001E7AD0">
        <w:t xml:space="preserve"> of these operations</w:t>
      </w:r>
    </w:p>
    <w:p w14:paraId="339EB99F" w14:textId="7D6E37BD" w:rsidR="009540F8" w:rsidRPr="001E7AD0" w:rsidRDefault="009540F8" w:rsidP="000960AF">
      <w:pPr>
        <w:pStyle w:val="Observation"/>
      </w:pPr>
      <w:bookmarkStart w:id="1" w:name="_Toc87042480"/>
      <w:r w:rsidRPr="001E7AD0">
        <w:t xml:space="preserve">Co-scheduling </w:t>
      </w:r>
      <w:r w:rsidR="00A33D5C" w:rsidRPr="001E7AD0">
        <w:t xml:space="preserve">an </w:t>
      </w:r>
      <w:r w:rsidRPr="001E7AD0">
        <w:t xml:space="preserve">IAB-MT and UEs at parent IAB-nodes prevents the reception of any UE at </w:t>
      </w:r>
      <w:r w:rsidR="00A33D5C" w:rsidRPr="001E7AD0">
        <w:t xml:space="preserve">the </w:t>
      </w:r>
      <w:r w:rsidRPr="001E7AD0">
        <w:t>IAB-node</w:t>
      </w:r>
      <w:r w:rsidR="007903EA" w:rsidRPr="001E7AD0">
        <w:t xml:space="preserve"> in the same slot</w:t>
      </w:r>
      <w:r w:rsidR="00A66D07" w:rsidRPr="001E7AD0">
        <w:t>.</w:t>
      </w:r>
      <w:bookmarkEnd w:id="1"/>
    </w:p>
    <w:p w14:paraId="7384D88B" w14:textId="1435C325" w:rsidR="004D4950" w:rsidRPr="001E7AD0" w:rsidRDefault="004D4950" w:rsidP="00FF09B0">
      <w:pPr>
        <w:jc w:val="both"/>
      </w:pPr>
    </w:p>
    <w:p w14:paraId="6B811742" w14:textId="1063BBBF" w:rsidR="004D4950" w:rsidRPr="001E7AD0" w:rsidRDefault="004D4950" w:rsidP="00FF09B0">
      <w:pPr>
        <w:jc w:val="both"/>
      </w:pPr>
    </w:p>
    <w:p w14:paraId="45F70E1F" w14:textId="369BFD12" w:rsidR="003A764B" w:rsidRPr="001E7AD0" w:rsidRDefault="003A764B" w:rsidP="00FF09B0">
      <w:pPr>
        <w:jc w:val="both"/>
      </w:pPr>
      <w:r w:rsidRPr="001E7AD0">
        <w:rPr>
          <w:noProof/>
        </w:rPr>
        <w:drawing>
          <wp:inline distT="0" distB="0" distL="0" distR="0" wp14:anchorId="19486D97" wp14:editId="4A3C3EA8">
            <wp:extent cx="6120765" cy="32321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232150"/>
                    </a:xfrm>
                    <a:prstGeom prst="rect">
                      <a:avLst/>
                    </a:prstGeom>
                  </pic:spPr>
                </pic:pic>
              </a:graphicData>
            </a:graphic>
          </wp:inline>
        </w:drawing>
      </w:r>
    </w:p>
    <w:p w14:paraId="4DBE74CC" w14:textId="39FD25DA" w:rsidR="00285CED" w:rsidRPr="001E7AD0" w:rsidRDefault="00A66D07" w:rsidP="00A66D07">
      <w:pPr>
        <w:pStyle w:val="Caption"/>
        <w:jc w:val="center"/>
        <w:rPr>
          <w:b w:val="0"/>
          <w:bCs/>
        </w:rPr>
      </w:pPr>
      <w:bookmarkStart w:id="2" w:name="_Ref86853690"/>
      <w:r w:rsidRPr="001E7AD0">
        <w:rPr>
          <w:b w:val="0"/>
          <w:bCs/>
        </w:rPr>
        <w:t xml:space="preserve">Figure </w:t>
      </w:r>
      <w:r w:rsidRPr="001E7AD0">
        <w:rPr>
          <w:b w:val="0"/>
          <w:bCs/>
        </w:rPr>
        <w:fldChar w:fldCharType="begin"/>
      </w:r>
      <w:r w:rsidRPr="001E7AD0">
        <w:rPr>
          <w:b w:val="0"/>
          <w:bCs/>
        </w:rPr>
        <w:instrText xml:space="preserve"> SEQ Figure \* ARABIC </w:instrText>
      </w:r>
      <w:r w:rsidRPr="001E7AD0">
        <w:rPr>
          <w:b w:val="0"/>
          <w:bCs/>
        </w:rPr>
        <w:fldChar w:fldCharType="separate"/>
      </w:r>
      <w:r w:rsidR="001853DE">
        <w:rPr>
          <w:b w:val="0"/>
          <w:bCs/>
          <w:noProof/>
        </w:rPr>
        <w:t>1</w:t>
      </w:r>
      <w:r w:rsidRPr="001E7AD0">
        <w:rPr>
          <w:b w:val="0"/>
          <w:bCs/>
        </w:rPr>
        <w:fldChar w:fldCharType="end"/>
      </w:r>
      <w:bookmarkEnd w:id="2"/>
      <w:r w:rsidRPr="001E7AD0">
        <w:rPr>
          <w:b w:val="0"/>
          <w:bCs/>
        </w:rPr>
        <w:t>: An IAB-node that, due to a half-duplex constraint, is multiplexing its IAB-MT transmission and UE reception in, e.g., every second UL slot.</w:t>
      </w:r>
    </w:p>
    <w:p w14:paraId="12C2AD67" w14:textId="77777777" w:rsidR="007903EA" w:rsidRPr="001E7AD0" w:rsidRDefault="007903EA" w:rsidP="00FF09B0">
      <w:pPr>
        <w:jc w:val="both"/>
      </w:pPr>
    </w:p>
    <w:p w14:paraId="190C08B9" w14:textId="5B0D8EA3" w:rsidR="006068B7" w:rsidRPr="001E7AD0" w:rsidRDefault="007903EA" w:rsidP="00FF09B0">
      <w:pPr>
        <w:jc w:val="both"/>
      </w:pPr>
      <w:r w:rsidRPr="001E7AD0">
        <w:t>If the TDD pattern only offers one UL slot per cycle, this multiplex</w:t>
      </w:r>
      <w:r w:rsidR="00034D97" w:rsidRPr="001E7AD0">
        <w:t>ing</w:t>
      </w:r>
      <w:r w:rsidRPr="001E7AD0">
        <w:t xml:space="preserve"> of IAB-MT </w:t>
      </w:r>
      <w:r w:rsidR="001C349F" w:rsidRPr="001E7AD0">
        <w:t xml:space="preserve">UL </w:t>
      </w:r>
      <w:r w:rsidRPr="001E7AD0">
        <w:t>and UL operation</w:t>
      </w:r>
      <w:r w:rsidR="001C349F" w:rsidRPr="001E7AD0">
        <w:t xml:space="preserve"> of UEs served by the co-located IAB-DU</w:t>
      </w:r>
      <w:r w:rsidR="006068B7" w:rsidRPr="001E7AD0">
        <w:t xml:space="preserve"> will have severe impact on UE performance. For example, UE</w:t>
      </w:r>
      <w:r w:rsidR="0060079D" w:rsidRPr="001E7AD0">
        <w:t>s</w:t>
      </w:r>
      <w:r w:rsidR="006068B7" w:rsidRPr="001E7AD0">
        <w:t xml:space="preserve"> </w:t>
      </w:r>
      <w:r w:rsidR="004A2B0B" w:rsidRPr="001E7AD0">
        <w:t>will</w:t>
      </w:r>
      <w:r w:rsidR="00750597" w:rsidRPr="001E7AD0">
        <w:t xml:space="preserve"> </w:t>
      </w:r>
      <w:r w:rsidR="00AA3297" w:rsidRPr="001E7AD0">
        <w:t>not</w:t>
      </w:r>
      <w:r w:rsidR="00750597" w:rsidRPr="001E7AD0">
        <w:t xml:space="preserve"> </w:t>
      </w:r>
      <w:r w:rsidR="00750597" w:rsidRPr="001E7AD0">
        <w:lastRenderedPageBreak/>
        <w:t>always</w:t>
      </w:r>
      <w:r w:rsidR="006068B7" w:rsidRPr="001E7AD0">
        <w:t xml:space="preserve"> able to provide HARQ feedback in time</w:t>
      </w:r>
      <w:r w:rsidR="004A2B0B" w:rsidRPr="001E7AD0">
        <w:t>,</w:t>
      </w:r>
      <w:r w:rsidR="006068B7" w:rsidRPr="001E7AD0">
        <w:t xml:space="preserve"> resulting in regular </w:t>
      </w:r>
      <w:r w:rsidR="00112156" w:rsidRPr="001E7AD0">
        <w:t xml:space="preserve">and </w:t>
      </w:r>
      <w:r w:rsidR="006068B7" w:rsidRPr="001E7AD0">
        <w:t>unnecessary retransmission</w:t>
      </w:r>
      <w:r w:rsidR="00AA3297" w:rsidRPr="001E7AD0">
        <w:t>s that</w:t>
      </w:r>
      <w:r w:rsidR="00750597" w:rsidRPr="001E7AD0">
        <w:t xml:space="preserve"> reduc</w:t>
      </w:r>
      <w:r w:rsidR="00AA3297" w:rsidRPr="001E7AD0">
        <w:t>e</w:t>
      </w:r>
      <w:r w:rsidR="00112156" w:rsidRPr="001E7AD0">
        <w:t xml:space="preserve"> DL performance.</w:t>
      </w:r>
    </w:p>
    <w:p w14:paraId="1E6F1394" w14:textId="306E8835" w:rsidR="00112156" w:rsidRPr="001E7AD0" w:rsidRDefault="00112156" w:rsidP="000960AF">
      <w:pPr>
        <w:pStyle w:val="Observation"/>
      </w:pPr>
      <w:bookmarkStart w:id="3" w:name="_Toc87042481"/>
      <w:r w:rsidRPr="001E7AD0">
        <w:t xml:space="preserve">In IAB networks with a TDD pattern only offering one UL slot per cycle, </w:t>
      </w:r>
      <w:r w:rsidR="00750597" w:rsidRPr="001E7AD0">
        <w:t>a UE is not always able to provide HARQ feedback</w:t>
      </w:r>
      <w:r w:rsidR="00AA3297" w:rsidRPr="001E7AD0">
        <w:t>,</w:t>
      </w:r>
      <w:r w:rsidR="00750597" w:rsidRPr="001E7AD0">
        <w:t xml:space="preserve"> resulting in regular and unnecessary DL retransmission.</w:t>
      </w:r>
      <w:bookmarkEnd w:id="3"/>
    </w:p>
    <w:p w14:paraId="52D89331" w14:textId="680E4FD1" w:rsidR="006068B7" w:rsidRPr="001E7AD0" w:rsidRDefault="0060079D" w:rsidP="00FF09B0">
      <w:pPr>
        <w:jc w:val="both"/>
      </w:pPr>
      <w:r w:rsidRPr="001E7AD0">
        <w:t xml:space="preserve">Another problem that affects UE performance is the reduced opportunity of </w:t>
      </w:r>
      <w:r w:rsidR="006068B7" w:rsidRPr="001E7AD0">
        <w:t>requesting a scheduling grant</w:t>
      </w:r>
      <w:r w:rsidRPr="001E7AD0">
        <w:t xml:space="preserve">. </w:t>
      </w:r>
      <w:r w:rsidR="004B1834" w:rsidRPr="001E7AD0">
        <w:t>If</w:t>
      </w:r>
      <w:r w:rsidRPr="001E7AD0">
        <w:t xml:space="preserve"> </w:t>
      </w:r>
      <w:r w:rsidR="004B1834" w:rsidRPr="001E7AD0">
        <w:t xml:space="preserve">a </w:t>
      </w:r>
      <w:r w:rsidRPr="001E7AD0">
        <w:t xml:space="preserve">UE </w:t>
      </w:r>
      <w:r w:rsidR="004B1834" w:rsidRPr="001E7AD0">
        <w:t>is</w:t>
      </w:r>
      <w:r w:rsidR="002441EF" w:rsidRPr="001E7AD0">
        <w:t xml:space="preserve"> provided with</w:t>
      </w:r>
      <w:r w:rsidRPr="001E7AD0" w:rsidDel="002441EF">
        <w:t xml:space="preserve"> </w:t>
      </w:r>
      <w:r w:rsidRPr="001E7AD0">
        <w:t xml:space="preserve">data </w:t>
      </w:r>
      <w:r w:rsidR="00CA1444" w:rsidRPr="001E7AD0">
        <w:t xml:space="preserve">for UL transmission, </w:t>
      </w:r>
      <w:r w:rsidR="004B1834" w:rsidRPr="001E7AD0">
        <w:t>it</w:t>
      </w:r>
      <w:r w:rsidR="00CA1444" w:rsidRPr="001E7AD0">
        <w:t xml:space="preserve"> </w:t>
      </w:r>
      <w:r w:rsidR="004B1834" w:rsidRPr="001E7AD0">
        <w:t>may</w:t>
      </w:r>
      <w:r w:rsidRPr="001E7AD0">
        <w:t xml:space="preserve"> not </w:t>
      </w:r>
      <w:r w:rsidR="004B1834" w:rsidRPr="001E7AD0">
        <w:t xml:space="preserve">be </w:t>
      </w:r>
      <w:r w:rsidRPr="001E7AD0">
        <w:t xml:space="preserve">able to </w:t>
      </w:r>
      <w:r w:rsidR="00E2132E" w:rsidRPr="001E7AD0">
        <w:t xml:space="preserve">send it in a timely manner to the </w:t>
      </w:r>
      <w:r w:rsidR="00CA1444" w:rsidRPr="001E7AD0">
        <w:t xml:space="preserve">serving </w:t>
      </w:r>
      <w:r w:rsidR="00E2132E" w:rsidRPr="001E7AD0">
        <w:t>IAB-node.</w:t>
      </w:r>
    </w:p>
    <w:p w14:paraId="4E2A06E5" w14:textId="735856DE" w:rsidR="00E2132E" w:rsidRPr="001E7AD0" w:rsidRDefault="00E2132E" w:rsidP="000960AF">
      <w:pPr>
        <w:pStyle w:val="Observation"/>
      </w:pPr>
      <w:bookmarkStart w:id="4" w:name="_Toc87042482"/>
      <w:r w:rsidRPr="001E7AD0">
        <w:t>In IAB networks with a TDD pattern only offering one UL slot per cycle, a UE is not always able to timely request an UL scheduling.</w:t>
      </w:r>
      <w:bookmarkEnd w:id="4"/>
    </w:p>
    <w:p w14:paraId="63EC76D2" w14:textId="05FCB61F" w:rsidR="005C41E6" w:rsidRPr="001E7AD0" w:rsidRDefault="005C41E6" w:rsidP="00E2132E">
      <w:pPr>
        <w:jc w:val="both"/>
      </w:pPr>
      <w:r w:rsidRPr="001E7AD0">
        <w:t xml:space="preserve">Obviously, in certain TDD configurations it is not </w:t>
      </w:r>
      <w:r w:rsidR="00B56A0A" w:rsidRPr="001E7AD0">
        <w:t xml:space="preserve">desirable or even </w:t>
      </w:r>
      <w:r w:rsidRPr="001E7AD0">
        <w:t>possible to operate MT transmission in UL slot without severe impact on performance of access UE.</w:t>
      </w:r>
    </w:p>
    <w:p w14:paraId="4D8D22C1" w14:textId="06BBF731" w:rsidR="00CA1444" w:rsidRPr="001E7AD0" w:rsidRDefault="00CA1444" w:rsidP="00CA1444">
      <w:pPr>
        <w:pStyle w:val="Observation"/>
      </w:pPr>
      <w:bookmarkStart w:id="5" w:name="_Toc87042483"/>
      <w:r w:rsidRPr="001E7AD0">
        <w:t>In certain TDD configurations it is not possible to operate MT transmission in UL slot without severe impact on performance of access UE.</w:t>
      </w:r>
      <w:bookmarkEnd w:id="5"/>
    </w:p>
    <w:p w14:paraId="1656FA87" w14:textId="1289A685" w:rsidR="00A66D07" w:rsidRPr="001E7AD0" w:rsidRDefault="006724D7" w:rsidP="00FF09B0">
      <w:pPr>
        <w:jc w:val="both"/>
        <w:rPr>
          <w:rFonts w:ascii="Wingdings" w:eastAsia="Wingdings" w:hAnsi="Wingdings" w:cs="Wingdings"/>
        </w:rPr>
      </w:pPr>
      <w:r w:rsidRPr="001E7AD0">
        <w:t xml:space="preserve">It is not only from a resource perspective </w:t>
      </w:r>
      <w:r w:rsidR="00B05E70" w:rsidRPr="001E7AD0">
        <w:t xml:space="preserve">that </w:t>
      </w:r>
      <w:r w:rsidRPr="001E7AD0">
        <w:t>t</w:t>
      </w:r>
      <w:r w:rsidR="00310D7C" w:rsidRPr="001E7AD0">
        <w:t xml:space="preserve">here </w:t>
      </w:r>
      <w:r w:rsidRPr="001E7AD0">
        <w:t>may be</w:t>
      </w:r>
      <w:r w:rsidR="00310D7C" w:rsidRPr="001E7AD0">
        <w:t xml:space="preserve"> problems with co-schedul</w:t>
      </w:r>
      <w:r w:rsidR="00CA1444" w:rsidRPr="001E7AD0">
        <w:t>ing</w:t>
      </w:r>
      <w:r w:rsidR="00310D7C" w:rsidRPr="001E7AD0">
        <w:t xml:space="preserve"> an IAB-MT and </w:t>
      </w:r>
      <w:r w:rsidR="007664AF" w:rsidRPr="001E7AD0">
        <w:t>a</w:t>
      </w:r>
      <w:r w:rsidR="00310D7C" w:rsidRPr="001E7AD0">
        <w:t xml:space="preserve"> UE. It might </w:t>
      </w:r>
      <w:r w:rsidR="00B05E70" w:rsidRPr="001E7AD0">
        <w:t>also</w:t>
      </w:r>
      <w:r w:rsidR="00310D7C" w:rsidRPr="001E7AD0">
        <w:t xml:space="preserve"> require adjustments of the </w:t>
      </w:r>
      <w:r w:rsidR="00CA1444" w:rsidRPr="001E7AD0">
        <w:t>IAB-</w:t>
      </w:r>
      <w:r w:rsidR="00310D7C" w:rsidRPr="001E7AD0">
        <w:t>MT Tx power in form of a power reduction</w:t>
      </w:r>
      <w:r w:rsidR="00000794" w:rsidRPr="001E7AD0">
        <w:t xml:space="preserve"> to a) have similar receive power levels as UEs, b) not cause more interference in UL slots (in own and neighbor networks) than UE</w:t>
      </w:r>
      <w:r w:rsidR="00CA1444" w:rsidRPr="001E7AD0">
        <w:t>s</w:t>
      </w:r>
      <w:r w:rsidR="00310D7C" w:rsidRPr="001E7AD0">
        <w:t>. This can increase implementation complexity in case a wide range of MT Tx power adjustment should be required</w:t>
      </w:r>
      <w:r w:rsidR="007664AF" w:rsidRPr="001E7AD0">
        <w:t>, which generally</w:t>
      </w:r>
      <w:r w:rsidR="00310D7C" w:rsidRPr="001E7AD0">
        <w:t xml:space="preserve"> is not favorable</w:t>
      </w:r>
      <w:r w:rsidR="007664AF" w:rsidRPr="001E7AD0">
        <w:t xml:space="preserve">. Such </w:t>
      </w:r>
      <w:r w:rsidR="007A3F5A" w:rsidRPr="001E7AD0">
        <w:t>configurations are likely to be opposed</w:t>
      </w:r>
      <w:r w:rsidR="007664AF" w:rsidRPr="001E7AD0">
        <w:t xml:space="preserve"> </w:t>
      </w:r>
      <w:r w:rsidR="00310D7C" w:rsidRPr="001E7AD0">
        <w:t xml:space="preserve">by </w:t>
      </w:r>
      <w:r w:rsidR="005C41E6" w:rsidRPr="001E7AD0">
        <w:t>operators since</w:t>
      </w:r>
      <w:r w:rsidR="007664AF" w:rsidRPr="001E7AD0">
        <w:t xml:space="preserve"> it also</w:t>
      </w:r>
      <w:r w:rsidR="00310D7C" w:rsidRPr="001E7AD0">
        <w:t xml:space="preserve"> </w:t>
      </w:r>
      <w:r w:rsidR="0007614B" w:rsidRPr="001E7AD0">
        <w:t>decreases</w:t>
      </w:r>
      <w:r w:rsidR="00310D7C" w:rsidRPr="001E7AD0">
        <w:t xml:space="preserve"> UL BH performance and/or </w:t>
      </w:r>
      <w:r w:rsidR="007664AF" w:rsidRPr="001E7AD0">
        <w:t xml:space="preserve">introduces </w:t>
      </w:r>
      <w:r w:rsidR="00310D7C" w:rsidRPr="001E7AD0">
        <w:t>ISD limit</w:t>
      </w:r>
      <w:r w:rsidR="007664AF" w:rsidRPr="001E7AD0">
        <w:t>ation</w:t>
      </w:r>
      <w:r w:rsidR="00310D7C" w:rsidRPr="001E7AD0">
        <w:t>.</w:t>
      </w:r>
    </w:p>
    <w:p w14:paraId="61633066" w14:textId="0174C61F" w:rsidR="00E2132E" w:rsidRPr="001E7AD0" w:rsidRDefault="00876EF5" w:rsidP="000960AF">
      <w:pPr>
        <w:pStyle w:val="Observation"/>
      </w:pPr>
      <w:bookmarkStart w:id="6" w:name="_Toc87042484"/>
      <w:r w:rsidRPr="001E7AD0">
        <w:t>If</w:t>
      </w:r>
      <w:r w:rsidR="00632C09" w:rsidRPr="001E7AD0">
        <w:t xml:space="preserve"> co-scheduled</w:t>
      </w:r>
      <w:r w:rsidR="00000794" w:rsidRPr="001E7AD0">
        <w:t xml:space="preserve"> in UL slots</w:t>
      </w:r>
      <w:r w:rsidR="00632C09" w:rsidRPr="001E7AD0">
        <w:t xml:space="preserve">, </w:t>
      </w:r>
      <w:r w:rsidR="00000794" w:rsidRPr="001E7AD0">
        <w:t>an IAB-</w:t>
      </w:r>
      <w:r w:rsidR="007664AF" w:rsidRPr="001E7AD0">
        <w:t xml:space="preserve">MT </w:t>
      </w:r>
      <w:r w:rsidRPr="001E7AD0">
        <w:t>may</w:t>
      </w:r>
      <w:r w:rsidR="007664AF" w:rsidRPr="001E7AD0">
        <w:t xml:space="preserve"> have to redu</w:t>
      </w:r>
      <w:r w:rsidR="005C41E6" w:rsidRPr="001E7AD0">
        <w:t>c</w:t>
      </w:r>
      <w:r w:rsidR="007664AF" w:rsidRPr="001E7AD0">
        <w:t xml:space="preserve">e </w:t>
      </w:r>
      <w:r w:rsidR="00B05E70" w:rsidRPr="001E7AD0">
        <w:t xml:space="preserve">transmit </w:t>
      </w:r>
      <w:r w:rsidR="007664AF" w:rsidRPr="001E7AD0">
        <w:t xml:space="preserve">power, </w:t>
      </w:r>
      <w:r w:rsidRPr="001E7AD0">
        <w:t xml:space="preserve">in turn </w:t>
      </w:r>
      <w:r w:rsidR="007664AF" w:rsidRPr="001E7AD0">
        <w:t>reducing BH performance</w:t>
      </w:r>
      <w:r w:rsidR="00000794" w:rsidRPr="001E7AD0">
        <w:t xml:space="preserve">, </w:t>
      </w:r>
      <w:r w:rsidRPr="001E7AD0">
        <w:t>to avoid causing</w:t>
      </w:r>
      <w:r w:rsidR="00000794" w:rsidRPr="001E7AD0">
        <w:t xml:space="preserve"> interference in </w:t>
      </w:r>
      <w:r w:rsidRPr="001E7AD0">
        <w:t xml:space="preserve">its </w:t>
      </w:r>
      <w:r w:rsidR="00000794" w:rsidRPr="001E7AD0">
        <w:t>own and neighbor</w:t>
      </w:r>
      <w:r w:rsidRPr="001E7AD0">
        <w:t>ing</w:t>
      </w:r>
      <w:r w:rsidR="00000794" w:rsidRPr="001E7AD0">
        <w:t xml:space="preserve"> RANs</w:t>
      </w:r>
      <w:r w:rsidR="007664AF" w:rsidRPr="001E7AD0">
        <w:t>.</w:t>
      </w:r>
      <w:bookmarkEnd w:id="6"/>
    </w:p>
    <w:p w14:paraId="2653F549" w14:textId="308FD49C" w:rsidR="00BD5153" w:rsidRPr="001E7AD0" w:rsidRDefault="00BD5153" w:rsidP="00FF09B0">
      <w:pPr>
        <w:jc w:val="both"/>
      </w:pPr>
      <w:r w:rsidRPr="001E7AD0">
        <w:t xml:space="preserve">An </w:t>
      </w:r>
      <w:r w:rsidR="00026C90" w:rsidRPr="001E7AD0">
        <w:t xml:space="preserve">attractive </w:t>
      </w:r>
      <w:r w:rsidRPr="001E7AD0">
        <w:t>alternative that prevent</w:t>
      </w:r>
      <w:r w:rsidR="00026C90" w:rsidRPr="001E7AD0">
        <w:t>s</w:t>
      </w:r>
      <w:r w:rsidRPr="001E7AD0">
        <w:t xml:space="preserve"> all the above issues is to configure the IAB-MT transmitting in DL slots.</w:t>
      </w:r>
    </w:p>
    <w:p w14:paraId="1DE3E67F" w14:textId="0D4B4172" w:rsidR="00B77326" w:rsidRPr="001E7AD0" w:rsidRDefault="000960AF" w:rsidP="00BD5153">
      <w:pPr>
        <w:jc w:val="both"/>
      </w:pPr>
      <w:r w:rsidRPr="001E7AD0">
        <w:t>An IAB-MT transmitting in DL slots does not have to adhere to UE class</w:t>
      </w:r>
      <w:r w:rsidR="00CA1444" w:rsidRPr="001E7AD0">
        <w:t xml:space="preserve"> like</w:t>
      </w:r>
      <w:r w:rsidRPr="001E7AD0">
        <w:t xml:space="preserve"> transmissions and is not power limited.</w:t>
      </w:r>
      <w:r w:rsidR="00000794" w:rsidRPr="001E7AD0">
        <w:t xml:space="preserve"> Only such a configuration with full power transmissions can enable large</w:t>
      </w:r>
      <w:r w:rsidR="008A6D87" w:rsidRPr="001E7AD0">
        <w:t xml:space="preserve"> ISDs, if the operator plans for such deployments.</w:t>
      </w:r>
    </w:p>
    <w:p w14:paraId="7207A2A5" w14:textId="374AE33A" w:rsidR="00B77326" w:rsidRPr="001E7AD0" w:rsidRDefault="00B77326" w:rsidP="006E3F02">
      <w:pPr>
        <w:pStyle w:val="Observation"/>
      </w:pPr>
      <w:bookmarkStart w:id="7" w:name="_Toc87042485"/>
      <w:r w:rsidRPr="001E7AD0">
        <w:t>An IAB-MT transmission in DL slots can be with maximum power improving UL BH performance and allowing large ISD.</w:t>
      </w:r>
      <w:bookmarkEnd w:id="7"/>
    </w:p>
    <w:p w14:paraId="1FD3B5AF" w14:textId="2CE1E098" w:rsidR="00B77326" w:rsidRPr="001E7AD0" w:rsidRDefault="008A6D87" w:rsidP="00BD5153">
      <w:pPr>
        <w:jc w:val="both"/>
      </w:pPr>
      <w:r w:rsidRPr="001E7AD0">
        <w:t xml:space="preserve">Especially with shared IAB-MT/DU hardware, an IAB-node operating in Case-1 needs to switch </w:t>
      </w:r>
      <w:proofErr w:type="gramStart"/>
      <w:r w:rsidRPr="001E7AD0">
        <w:t>its</w:t>
      </w:r>
      <w:proofErr w:type="gramEnd"/>
      <w:r w:rsidRPr="001E7AD0">
        <w:t xml:space="preserve"> transmit timing between IAB-MT and IAB-DU transmissions. </w:t>
      </w:r>
      <w:r w:rsidR="00D1725E" w:rsidRPr="001E7AD0">
        <w:t>With a Case-6 timing configuration for the IAB-MT</w:t>
      </w:r>
      <w:r w:rsidR="00C90B3F" w:rsidRPr="001E7AD0">
        <w:t xml:space="preserve"> UL</w:t>
      </w:r>
      <w:r w:rsidR="00D1725E" w:rsidRPr="001E7AD0">
        <w:t xml:space="preserve">, only one transmission timing needs to be supported. </w:t>
      </w:r>
      <w:r w:rsidR="00DD4BDB" w:rsidRPr="001E7AD0">
        <w:t>This can make quite a difference from an implementation complexity</w:t>
      </w:r>
      <w:r w:rsidR="00984E2F" w:rsidRPr="001E7AD0">
        <w:t xml:space="preserve"> </w:t>
      </w:r>
      <w:r w:rsidR="00373951" w:rsidRPr="001E7AD0">
        <w:t xml:space="preserve">point of view </w:t>
      </w:r>
      <w:r w:rsidR="00984E2F" w:rsidRPr="001E7AD0">
        <w:t xml:space="preserve">and </w:t>
      </w:r>
      <w:r w:rsidR="00373951" w:rsidRPr="001E7AD0">
        <w:t xml:space="preserve">the </w:t>
      </w:r>
      <w:r w:rsidR="00984E2F" w:rsidRPr="001E7AD0">
        <w:t xml:space="preserve">specification should </w:t>
      </w:r>
      <w:r w:rsidR="00373951" w:rsidRPr="001E7AD0">
        <w:t>not restrict the possibility for such a</w:t>
      </w:r>
      <w:r w:rsidR="00C90B3F" w:rsidRPr="001E7AD0">
        <w:t xml:space="preserve">n attractive </w:t>
      </w:r>
      <w:r w:rsidR="00373951" w:rsidRPr="001E7AD0">
        <w:t>configuration</w:t>
      </w:r>
      <w:r w:rsidR="00DD4BDB" w:rsidRPr="001E7AD0">
        <w:t xml:space="preserve">. </w:t>
      </w:r>
    </w:p>
    <w:p w14:paraId="185FAAAD" w14:textId="26082477" w:rsidR="00B77326" w:rsidRPr="001E7AD0" w:rsidRDefault="00C90B3F" w:rsidP="006E3F02">
      <w:pPr>
        <w:pStyle w:val="Observation"/>
      </w:pPr>
      <w:bookmarkStart w:id="8" w:name="_Toc87042486"/>
      <w:r w:rsidRPr="001E7AD0">
        <w:t xml:space="preserve">Using </w:t>
      </w:r>
      <w:r w:rsidR="00B77326" w:rsidRPr="001E7AD0">
        <w:t xml:space="preserve">Case-6 timing </w:t>
      </w:r>
      <w:r w:rsidRPr="001E7AD0">
        <w:t>for the MT’s UL</w:t>
      </w:r>
      <w:r w:rsidR="00B77326" w:rsidRPr="001E7AD0">
        <w:t xml:space="preserve"> </w:t>
      </w:r>
      <w:r w:rsidR="004E2F48" w:rsidRPr="001E7AD0">
        <w:t>eliminates</w:t>
      </w:r>
      <w:r w:rsidR="00B77326" w:rsidRPr="001E7AD0">
        <w:t xml:space="preserve"> the need </w:t>
      </w:r>
      <w:r w:rsidR="004E2F48" w:rsidRPr="001E7AD0">
        <w:t>for</w:t>
      </w:r>
      <w:r w:rsidR="00B77326" w:rsidRPr="001E7AD0">
        <w:t xml:space="preserve"> implement</w:t>
      </w:r>
      <w:r w:rsidR="004E2F48" w:rsidRPr="001E7AD0">
        <w:t>ing</w:t>
      </w:r>
      <w:r w:rsidR="00B77326" w:rsidRPr="001E7AD0">
        <w:t xml:space="preserve"> variable transmission timing.</w:t>
      </w:r>
      <w:bookmarkEnd w:id="8"/>
    </w:p>
    <w:p w14:paraId="70CEEB0D" w14:textId="6456D563" w:rsidR="008A6D87" w:rsidRPr="001E7AD0" w:rsidRDefault="00D1725E" w:rsidP="00BD5153">
      <w:pPr>
        <w:jc w:val="both"/>
      </w:pPr>
      <w:r w:rsidRPr="001E7AD0">
        <w:t>We would like to note that Case-6 is required</w:t>
      </w:r>
      <w:r w:rsidR="008A29DA" w:rsidRPr="001E7AD0">
        <w:t>,</w:t>
      </w:r>
      <w:r w:rsidRPr="001E7AD0">
        <w:t xml:space="preserve"> due to </w:t>
      </w:r>
      <w:r w:rsidR="00DD4BDB" w:rsidRPr="001E7AD0">
        <w:t xml:space="preserve">TDD </w:t>
      </w:r>
      <w:r w:rsidRPr="001E7AD0">
        <w:t>network timing requirements (independent of IAB)</w:t>
      </w:r>
      <w:r w:rsidR="008A29DA" w:rsidRPr="001E7AD0">
        <w:t>,</w:t>
      </w:r>
      <w:r w:rsidRPr="001E7AD0">
        <w:t xml:space="preserve"> for any transmissions in DL slots</w:t>
      </w:r>
      <w:r w:rsidR="00DD4BDB" w:rsidRPr="001E7AD0">
        <w:t xml:space="preserve">. We do not believe that IAB-MT transmission with Case-6 timing in UL slots are efficient, since their delayed reception overlaps in time with </w:t>
      </w:r>
      <w:r w:rsidR="004E2F48" w:rsidRPr="001E7AD0">
        <w:t>the subsequent</w:t>
      </w:r>
      <w:r w:rsidR="00DD4BDB" w:rsidRPr="001E7AD0">
        <w:t xml:space="preserve"> parent DU operation and</w:t>
      </w:r>
      <w:r w:rsidR="0007614B" w:rsidRPr="001E7AD0">
        <w:t>, therefore, the</w:t>
      </w:r>
      <w:r w:rsidR="00DD4BDB" w:rsidRPr="001E7AD0">
        <w:t xml:space="preserve"> last symbols in a slot </w:t>
      </w:r>
      <w:r w:rsidR="0007614B" w:rsidRPr="001E7AD0">
        <w:t>are lost</w:t>
      </w:r>
      <w:r w:rsidR="00DD4BDB" w:rsidRPr="001E7AD0">
        <w:t>.</w:t>
      </w:r>
      <w:r w:rsidR="00B77326" w:rsidRPr="001E7AD0">
        <w:t xml:space="preserve"> </w:t>
      </w:r>
    </w:p>
    <w:p w14:paraId="1B49EA50" w14:textId="27997BB5" w:rsidR="00BD5153" w:rsidRPr="001E7AD0" w:rsidRDefault="008C67CD" w:rsidP="00BD5153">
      <w:pPr>
        <w:jc w:val="both"/>
      </w:pPr>
      <w:r w:rsidRPr="001E7AD0">
        <w:t xml:space="preserve">Having IAB-MT transmissions </w:t>
      </w:r>
      <w:r w:rsidR="00701741" w:rsidRPr="001E7AD0">
        <w:t xml:space="preserve">only </w:t>
      </w:r>
      <w:r w:rsidRPr="001E7AD0">
        <w:t>in DL slots</w:t>
      </w:r>
      <w:r w:rsidRPr="001E7AD0" w:rsidDel="00701741">
        <w:t xml:space="preserve"> </w:t>
      </w:r>
      <w:r w:rsidRPr="001E7AD0">
        <w:t>can provide higher</w:t>
      </w:r>
      <w:r w:rsidR="00BD5153" w:rsidRPr="001E7AD0">
        <w:t xml:space="preserve"> flexibility in configuring resources</w:t>
      </w:r>
      <w:r w:rsidRPr="001E7AD0">
        <w:t xml:space="preserve">. Not only are UL resources for UE untouched (and so is any </w:t>
      </w:r>
      <w:r w:rsidR="00701741" w:rsidRPr="001E7AD0">
        <w:t xml:space="preserve">UE </w:t>
      </w:r>
      <w:r w:rsidRPr="001E7AD0">
        <w:t>UL operation),</w:t>
      </w:r>
      <w:r w:rsidR="00BD5153" w:rsidRPr="001E7AD0">
        <w:t xml:space="preserve"> </w:t>
      </w:r>
      <w:r w:rsidR="00A52559" w:rsidRPr="001E7AD0">
        <w:t xml:space="preserve">but </w:t>
      </w:r>
      <w:r w:rsidR="00BD5153" w:rsidRPr="001E7AD0">
        <w:t xml:space="preserve">in some </w:t>
      </w:r>
      <w:r w:rsidRPr="001E7AD0">
        <w:t>configuration</w:t>
      </w:r>
      <w:r w:rsidR="00D90453" w:rsidRPr="001E7AD0">
        <w:t>s</w:t>
      </w:r>
      <w:r w:rsidRPr="001E7AD0">
        <w:t xml:space="preserve"> (when UL resources are spar</w:t>
      </w:r>
      <w:r w:rsidR="00D90453" w:rsidRPr="001E7AD0">
        <w:t>s</w:t>
      </w:r>
      <w:r w:rsidRPr="001E7AD0">
        <w:t>e anyway compared to DL resources)</w:t>
      </w:r>
      <w:r w:rsidR="00D90453" w:rsidRPr="001E7AD0">
        <w:t>,</w:t>
      </w:r>
      <w:r w:rsidRPr="001E7AD0">
        <w:t xml:space="preserve"> </w:t>
      </w:r>
      <w:r w:rsidR="00701741" w:rsidRPr="001E7AD0">
        <w:t xml:space="preserve">a </w:t>
      </w:r>
      <w:r w:rsidR="00BD5153" w:rsidRPr="001E7AD0">
        <w:t xml:space="preserve">reduced </w:t>
      </w:r>
      <w:r w:rsidR="00701741" w:rsidRPr="001E7AD0">
        <w:t xml:space="preserve">number of </w:t>
      </w:r>
      <w:r w:rsidR="00BD5153" w:rsidRPr="001E7AD0">
        <w:t>UE UL slots</w:t>
      </w:r>
      <w:r w:rsidRPr="001E7AD0">
        <w:t xml:space="preserve"> is</w:t>
      </w:r>
      <w:r w:rsidR="00BD5153" w:rsidRPr="001E7AD0">
        <w:t xml:space="preserve"> worse than using </w:t>
      </w:r>
      <w:r w:rsidRPr="001E7AD0">
        <w:t xml:space="preserve">some </w:t>
      </w:r>
      <w:r w:rsidR="00BD5153" w:rsidRPr="001E7AD0">
        <w:t>DL capacity for UL BH</w:t>
      </w:r>
      <w:r w:rsidRPr="001E7AD0">
        <w:t xml:space="preserve">. A small loss in DL resources is traded-off by a </w:t>
      </w:r>
      <w:r w:rsidR="00740E4D" w:rsidRPr="001E7AD0">
        <w:t>significant preservation of UL resources.</w:t>
      </w:r>
    </w:p>
    <w:p w14:paraId="6B49DD8E" w14:textId="5DEEFB56" w:rsidR="00483A1E" w:rsidRPr="001E7AD0" w:rsidRDefault="00483A1E" w:rsidP="006E3F02">
      <w:pPr>
        <w:pStyle w:val="Observation"/>
      </w:pPr>
      <w:bookmarkStart w:id="9" w:name="_Toc87042487"/>
      <w:r w:rsidRPr="001E7AD0">
        <w:t>IAB-MT transmissions in DL slots can provide higher flexibility in configuring resources.</w:t>
      </w:r>
      <w:bookmarkEnd w:id="9"/>
    </w:p>
    <w:p w14:paraId="3BFE3EC5" w14:textId="617B9810" w:rsidR="00740E4D" w:rsidRPr="001E7AD0" w:rsidRDefault="00740E4D" w:rsidP="00BD5153">
      <w:pPr>
        <w:jc w:val="both"/>
      </w:pPr>
      <w:r w:rsidRPr="001E7AD0">
        <w:lastRenderedPageBreak/>
        <w:t>Overall, IAB-</w:t>
      </w:r>
      <w:r w:rsidR="00BD5153" w:rsidRPr="001E7AD0">
        <w:t>MT transmission</w:t>
      </w:r>
      <w:r w:rsidR="00A52559" w:rsidRPr="001E7AD0">
        <w:t>s</w:t>
      </w:r>
      <w:r w:rsidR="00BD5153" w:rsidRPr="001E7AD0">
        <w:t xml:space="preserve"> in DL slot</w:t>
      </w:r>
      <w:r w:rsidR="00A52559" w:rsidRPr="001E7AD0">
        <w:t>s</w:t>
      </w:r>
      <w:r w:rsidR="00BD5153" w:rsidRPr="001E7AD0">
        <w:t xml:space="preserve"> make</w:t>
      </w:r>
      <w:r w:rsidRPr="001E7AD0">
        <w:t xml:space="preserve"> IAB-node transmissions more </w:t>
      </w:r>
      <w:proofErr w:type="gramStart"/>
      <w:r w:rsidRPr="001E7AD0">
        <w:t>similar to</w:t>
      </w:r>
      <w:proofErr w:type="gramEnd"/>
      <w:r w:rsidR="00BD5153" w:rsidRPr="001E7AD0">
        <w:t xml:space="preserve"> </w:t>
      </w:r>
      <w:r w:rsidRPr="001E7AD0">
        <w:t>gNB</w:t>
      </w:r>
      <w:r w:rsidR="00BD5153" w:rsidRPr="001E7AD0">
        <w:t xml:space="preserve"> transmission</w:t>
      </w:r>
      <w:r w:rsidRPr="001E7AD0">
        <w:t>s</w:t>
      </w:r>
      <w:r w:rsidR="00BD5153" w:rsidRPr="001E7AD0">
        <w:t xml:space="preserve"> (especially in case of high power) </w:t>
      </w:r>
      <w:r w:rsidR="006168D7" w:rsidRPr="001E7AD0">
        <w:t>and reduce impact on UE resources and operation.</w:t>
      </w:r>
    </w:p>
    <w:p w14:paraId="2DD975A3" w14:textId="0F9E2326" w:rsidR="00483A1E" w:rsidRPr="001E7AD0" w:rsidRDefault="00483A1E" w:rsidP="006E3F02">
      <w:pPr>
        <w:pStyle w:val="Observation"/>
      </w:pPr>
      <w:bookmarkStart w:id="10" w:name="_Toc87042488"/>
      <w:r w:rsidRPr="001E7AD0">
        <w:t xml:space="preserve">IAB-MT transmissions in DL slot make an IAB-node more </w:t>
      </w:r>
      <w:proofErr w:type="gramStart"/>
      <w:r w:rsidRPr="001E7AD0">
        <w:t>similar to</w:t>
      </w:r>
      <w:proofErr w:type="gramEnd"/>
      <w:r w:rsidRPr="001E7AD0">
        <w:t xml:space="preserve"> a gNB</w:t>
      </w:r>
      <w:r w:rsidR="00701741" w:rsidRPr="001E7AD0">
        <w:t xml:space="preserve"> with minimum effect on UE operation</w:t>
      </w:r>
      <w:r w:rsidRPr="001E7AD0">
        <w:t>.</w:t>
      </w:r>
      <w:bookmarkEnd w:id="10"/>
    </w:p>
    <w:p w14:paraId="58FDED98" w14:textId="02E87FC7" w:rsidR="00BD5153" w:rsidRPr="001E7AD0" w:rsidRDefault="006168D7" w:rsidP="00BD5153">
      <w:pPr>
        <w:jc w:val="both"/>
      </w:pPr>
      <w:r w:rsidRPr="001E7AD0">
        <w:t>It is therefore</w:t>
      </w:r>
      <w:r w:rsidR="00BD5153" w:rsidRPr="001E7AD0">
        <w:t xml:space="preserve"> reasonable for an operator</w:t>
      </w:r>
      <w:r w:rsidRPr="001E7AD0">
        <w:t xml:space="preserve">, in </w:t>
      </w:r>
      <w:r w:rsidR="004B1BD1" w:rsidRPr="001E7AD0">
        <w:t>many</w:t>
      </w:r>
      <w:r w:rsidRPr="001E7AD0">
        <w:t xml:space="preserve"> cases,</w:t>
      </w:r>
      <w:r w:rsidR="00BD5153" w:rsidRPr="001E7AD0">
        <w:t xml:space="preserve"> to configure IAB</w:t>
      </w:r>
      <w:r w:rsidRPr="001E7AD0">
        <w:t>-nodes</w:t>
      </w:r>
      <w:r w:rsidR="00BD5153" w:rsidRPr="001E7AD0">
        <w:t xml:space="preserve"> for Case-6 only</w:t>
      </w:r>
      <w:r w:rsidRPr="001E7AD0">
        <w:t xml:space="preserve"> operation. This can, for example, take place</w:t>
      </w:r>
      <w:r w:rsidR="00BD5153" w:rsidRPr="001E7AD0">
        <w:t xml:space="preserve"> after a certain configuration phase (</w:t>
      </w:r>
      <w:r w:rsidR="00474624" w:rsidRPr="001E7AD0">
        <w:t xml:space="preserve">TS </w:t>
      </w:r>
      <w:r w:rsidR="00BD5153" w:rsidRPr="001E7AD0">
        <w:t>38.</w:t>
      </w:r>
      <w:r w:rsidRPr="001E7AD0">
        <w:t>401</w:t>
      </w:r>
      <w:r w:rsidR="00474624" w:rsidRPr="001E7AD0">
        <w:t xml:space="preserve"> </w:t>
      </w:r>
      <w:r w:rsidR="00474624" w:rsidRPr="001E7AD0">
        <w:fldChar w:fldCharType="begin"/>
      </w:r>
      <w:r w:rsidR="00474624" w:rsidRPr="001E7AD0">
        <w:instrText xml:space="preserve"> REF _Ref87009311 \w \h </w:instrText>
      </w:r>
      <w:r w:rsidR="00474624" w:rsidRPr="001E7AD0">
        <w:fldChar w:fldCharType="separate"/>
      </w:r>
      <w:r w:rsidR="001853DE">
        <w:t>[13]</w:t>
      </w:r>
      <w:r w:rsidR="00474624" w:rsidRPr="001E7AD0">
        <w:fldChar w:fldCharType="end"/>
      </w:r>
      <w:r w:rsidRPr="001E7AD0">
        <w:t>, section 8.12</w:t>
      </w:r>
      <w:r w:rsidR="00BD5153" w:rsidRPr="001E7AD0">
        <w:t xml:space="preserve">), i.e., Phase 1 </w:t>
      </w:r>
      <w:r w:rsidR="008C20C3" w:rsidRPr="001E7AD0">
        <w:t>and</w:t>
      </w:r>
      <w:r w:rsidR="00BD5153" w:rsidRPr="001E7AD0">
        <w:t xml:space="preserve"> 2 of </w:t>
      </w:r>
      <w:r w:rsidR="008C20C3" w:rsidRPr="001E7AD0">
        <w:t>the</w:t>
      </w:r>
      <w:r w:rsidR="00BD5153" w:rsidRPr="001E7AD0">
        <w:t xml:space="preserve"> IAB-node</w:t>
      </w:r>
      <w:r w:rsidR="00814C4B" w:rsidRPr="001E7AD0">
        <w:t xml:space="preserve"> </w:t>
      </w:r>
      <w:proofErr w:type="gramStart"/>
      <w:r w:rsidR="00814C4B" w:rsidRPr="001E7AD0">
        <w:t>integration</w:t>
      </w:r>
      <w:proofErr w:type="gramEnd"/>
      <w:r w:rsidR="008C20C3" w:rsidRPr="001E7AD0">
        <w:t xml:space="preserve"> </w:t>
      </w:r>
      <w:r w:rsidR="00BD5153" w:rsidRPr="001E7AD0">
        <w:t>could be in</w:t>
      </w:r>
      <w:r w:rsidR="008C20C3" w:rsidRPr="001E7AD0">
        <w:t xml:space="preserve"> a</w:t>
      </w:r>
      <w:r w:rsidR="00BD5153" w:rsidRPr="001E7AD0">
        <w:t xml:space="preserve"> Case-1</w:t>
      </w:r>
      <w:r w:rsidR="008C20C3" w:rsidRPr="001E7AD0">
        <w:t xml:space="preserve"> timing configuration,</w:t>
      </w:r>
      <w:r w:rsidR="00BD5153" w:rsidRPr="001E7AD0">
        <w:t xml:space="preserve"> and in Phase 3 the IAB-node could </w:t>
      </w:r>
      <w:r w:rsidR="008C20C3" w:rsidRPr="001E7AD0">
        <w:t xml:space="preserve">switch to </w:t>
      </w:r>
      <w:r w:rsidR="00BD5153" w:rsidRPr="001E7AD0">
        <w:t xml:space="preserve">operate </w:t>
      </w:r>
      <w:r w:rsidR="004B1BD1" w:rsidRPr="001E7AD0">
        <w:t xml:space="preserve">entirely </w:t>
      </w:r>
      <w:r w:rsidR="00BD5153" w:rsidRPr="001E7AD0">
        <w:t>in Case-6</w:t>
      </w:r>
      <w:r w:rsidR="008C20C3" w:rsidRPr="001E7AD0">
        <w:t xml:space="preserve"> with IAB-MT transmission in DL slots</w:t>
      </w:r>
      <w:r w:rsidR="004D1343" w:rsidRPr="001E7AD0">
        <w:t xml:space="preserve"> for </w:t>
      </w:r>
      <w:r w:rsidR="004B1BD1" w:rsidRPr="001E7AD0">
        <w:t>the</w:t>
      </w:r>
      <w:r w:rsidR="00406510" w:rsidRPr="001E7AD0">
        <w:t xml:space="preserve"> foreseeable future</w:t>
      </w:r>
      <w:r w:rsidR="00BD5153" w:rsidRPr="001E7AD0">
        <w:t>.</w:t>
      </w:r>
    </w:p>
    <w:p w14:paraId="5C06EEA1" w14:textId="3E3A2299" w:rsidR="00BD5153" w:rsidRPr="001E7AD0" w:rsidRDefault="00BD5153" w:rsidP="006E3F02">
      <w:pPr>
        <w:pStyle w:val="Observation"/>
      </w:pPr>
      <w:bookmarkStart w:id="11" w:name="_Toc87042489"/>
      <w:r w:rsidRPr="001E7AD0">
        <w:t xml:space="preserve">Case-6 only is a valid configuration that can provide clear advantages especially for </w:t>
      </w:r>
      <w:r w:rsidR="004D1343" w:rsidRPr="001E7AD0">
        <w:t>wide-area</w:t>
      </w:r>
      <w:r w:rsidRPr="001E7AD0">
        <w:t xml:space="preserve"> deployments and </w:t>
      </w:r>
      <w:r w:rsidR="00406510" w:rsidRPr="001E7AD0">
        <w:t>for TDD patterns with a single</w:t>
      </w:r>
      <w:r w:rsidRPr="001E7AD0">
        <w:t xml:space="preserve"> UL slot</w:t>
      </w:r>
      <w:r w:rsidR="00483A1E" w:rsidRPr="001E7AD0">
        <w:t>.</w:t>
      </w:r>
      <w:bookmarkEnd w:id="11"/>
    </w:p>
    <w:p w14:paraId="4CF83BCD" w14:textId="59ED6AC5" w:rsidR="00560539" w:rsidRPr="001E7AD0" w:rsidRDefault="00560539" w:rsidP="004D1343">
      <w:pPr>
        <w:pStyle w:val="Proposal"/>
      </w:pPr>
      <w:bookmarkStart w:id="12" w:name="_Toc87042510"/>
      <w:r w:rsidRPr="001E7AD0">
        <w:t>IAB-MT transmission in</w:t>
      </w:r>
      <w:r w:rsidR="00374821" w:rsidRPr="001E7AD0">
        <w:t xml:space="preserve"> IAB-DU</w:t>
      </w:r>
      <w:r w:rsidRPr="001E7AD0">
        <w:t xml:space="preserve"> DL </w:t>
      </w:r>
      <w:r w:rsidR="00374821" w:rsidRPr="001E7AD0">
        <w:t xml:space="preserve">configured </w:t>
      </w:r>
      <w:r w:rsidRPr="001E7AD0">
        <w:t>slots is supported.</w:t>
      </w:r>
      <w:bookmarkEnd w:id="12"/>
    </w:p>
    <w:p w14:paraId="0ECEDFAC" w14:textId="18676082" w:rsidR="00632C09" w:rsidRPr="001E7AD0" w:rsidRDefault="00483A1E" w:rsidP="003B69D0">
      <w:pPr>
        <w:pStyle w:val="Proposal"/>
      </w:pPr>
      <w:bookmarkStart w:id="13" w:name="_Toc87042511"/>
      <w:r w:rsidRPr="001E7AD0">
        <w:t xml:space="preserve">Case-6 operation should be given the same principal </w:t>
      </w:r>
      <w:r w:rsidR="004D1343" w:rsidRPr="001E7AD0">
        <w:t xml:space="preserve">support by </w:t>
      </w:r>
      <w:r w:rsidRPr="001E7AD0">
        <w:t>specification</w:t>
      </w:r>
      <w:r w:rsidR="004D1343" w:rsidRPr="001E7AD0">
        <w:t xml:space="preserve"> as Case-1</w:t>
      </w:r>
      <w:r w:rsidR="007F09A8" w:rsidRPr="001E7AD0">
        <w:t xml:space="preserve"> or Case-7</w:t>
      </w:r>
      <w:r w:rsidR="004D1343" w:rsidRPr="001E7AD0">
        <w:t>.</w:t>
      </w:r>
      <w:bookmarkEnd w:id="13"/>
    </w:p>
    <w:p w14:paraId="01326525" w14:textId="56F80322" w:rsidR="0036209F" w:rsidRPr="001E7AD0" w:rsidRDefault="0036209F" w:rsidP="003B69D0">
      <w:pPr>
        <w:pStyle w:val="Heading2"/>
        <w:rPr>
          <w:lang w:val="en-US"/>
        </w:rPr>
      </w:pPr>
      <w:r w:rsidRPr="001E7AD0">
        <w:rPr>
          <w:lang w:val="en-US"/>
        </w:rPr>
        <w:t>On the definition of TA</w:t>
      </w:r>
    </w:p>
    <w:p w14:paraId="5294B721" w14:textId="7A52CC19" w:rsidR="0085600A" w:rsidRPr="001E7AD0" w:rsidRDefault="00560539" w:rsidP="00FF09B0">
      <w:pPr>
        <w:jc w:val="both"/>
      </w:pPr>
      <w:r w:rsidRPr="001E7AD0">
        <w:t xml:space="preserve">TS </w:t>
      </w:r>
      <w:r w:rsidR="0085600A" w:rsidRPr="001E7AD0">
        <w:t xml:space="preserve">38.211 </w:t>
      </w:r>
      <w:r w:rsidR="00D26CF0" w:rsidRPr="001E7AD0">
        <w:fldChar w:fldCharType="begin"/>
      </w:r>
      <w:r w:rsidR="00D26CF0" w:rsidRPr="001E7AD0">
        <w:instrText xml:space="preserve"> REF _Ref77166368 \w \h </w:instrText>
      </w:r>
      <w:r w:rsidR="00474624" w:rsidRPr="001E7AD0">
        <w:instrText xml:space="preserve"> \* MERGEFORMAT </w:instrText>
      </w:r>
      <w:r w:rsidR="00D26CF0" w:rsidRPr="001E7AD0">
        <w:fldChar w:fldCharType="separate"/>
      </w:r>
      <w:r w:rsidR="001853DE">
        <w:t>[5]</w:t>
      </w:r>
      <w:r w:rsidR="00D26CF0" w:rsidRPr="001E7AD0">
        <w:fldChar w:fldCharType="end"/>
      </w:r>
      <w:r w:rsidR="00C439B3" w:rsidRPr="001E7AD0">
        <w:t xml:space="preserve"> </w:t>
      </w:r>
      <w:r w:rsidR="0085600A" w:rsidRPr="001E7AD0">
        <w:t xml:space="preserve">states </w:t>
      </w:r>
      <w:r w:rsidR="005048DA" w:rsidRPr="001E7AD0">
        <w:t xml:space="preserve">the following </w:t>
      </w:r>
      <w:r w:rsidR="0085600A" w:rsidRPr="001E7AD0">
        <w:t>about Timing Advance (TA)</w:t>
      </w:r>
      <w:r w:rsidRPr="001E7AD0">
        <w:t>:</w:t>
      </w:r>
    </w:p>
    <w:p w14:paraId="02362EF2" w14:textId="5E12BFBC" w:rsidR="00560539" w:rsidRPr="001E7AD0" w:rsidRDefault="00560539" w:rsidP="00903472">
      <w:pPr>
        <w:ind w:left="567"/>
        <w:jc w:val="both"/>
      </w:pPr>
      <w:r w:rsidRPr="001E7AD0">
        <w:t xml:space="preserve">“Uplink frame number </w:t>
      </w:r>
      <w:r w:rsidRPr="001E7AD0">
        <w:rPr>
          <w:i/>
          <w:iCs/>
        </w:rPr>
        <w:t>i</w:t>
      </w:r>
      <w:r w:rsidRPr="001E7AD0">
        <w:t xml:space="preserve"> for transmission from the UE shall start </w:t>
      </w:r>
      <w:r w:rsidRPr="001E7AD0">
        <w:rPr>
          <w:i/>
          <w:iCs/>
        </w:rPr>
        <w:t>T_TA</w:t>
      </w:r>
      <w:proofErr w:type="gramStart"/>
      <w:r w:rsidRPr="001E7AD0">
        <w:rPr>
          <w:i/>
          <w:iCs/>
        </w:rPr>
        <w:t>=(</w:t>
      </w:r>
      <w:proofErr w:type="gramEnd"/>
      <w:r w:rsidRPr="001E7AD0">
        <w:rPr>
          <w:i/>
          <w:iCs/>
        </w:rPr>
        <w:t xml:space="preserve">N_TA + </w:t>
      </w:r>
      <w:proofErr w:type="spellStart"/>
      <w:r w:rsidRPr="001E7AD0">
        <w:rPr>
          <w:i/>
          <w:iCs/>
        </w:rPr>
        <w:t>N_TA,offset</w:t>
      </w:r>
      <w:proofErr w:type="spellEnd"/>
      <w:r w:rsidRPr="001E7AD0">
        <w:rPr>
          <w:i/>
          <w:iCs/>
        </w:rPr>
        <w:t>)*Tc</w:t>
      </w:r>
      <w:r w:rsidRPr="001E7AD0">
        <w:t xml:space="preserve"> before the start of the corresponding downlink frame at the UE…”</w:t>
      </w:r>
    </w:p>
    <w:p w14:paraId="46068840" w14:textId="77777777" w:rsidR="00F85F53" w:rsidRPr="001E7AD0" w:rsidRDefault="0085600A" w:rsidP="009879A3">
      <w:pPr>
        <w:keepNext/>
        <w:jc w:val="center"/>
      </w:pPr>
      <w:r w:rsidRPr="001E7AD0">
        <w:rPr>
          <w:noProof/>
        </w:rPr>
        <w:drawing>
          <wp:inline distT="0" distB="0" distL="0" distR="0" wp14:anchorId="2E4B26B3" wp14:editId="2452D57B">
            <wp:extent cx="4030133" cy="1886081"/>
            <wp:effectExtent l="0" t="0" r="0" b="0"/>
            <wp:docPr id="16" name="Picture 1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text, application, email&#10;&#10;Description automatically generated"/>
                    <pic:cNvPicPr/>
                  </pic:nvPicPr>
                  <pic:blipFill>
                    <a:blip r:embed="rId9"/>
                    <a:stretch>
                      <a:fillRect/>
                    </a:stretch>
                  </pic:blipFill>
                  <pic:spPr>
                    <a:xfrm>
                      <a:off x="0" y="0"/>
                      <a:ext cx="4043763" cy="1892460"/>
                    </a:xfrm>
                    <a:prstGeom prst="rect">
                      <a:avLst/>
                    </a:prstGeom>
                  </pic:spPr>
                </pic:pic>
              </a:graphicData>
            </a:graphic>
          </wp:inline>
        </w:drawing>
      </w:r>
    </w:p>
    <w:p w14:paraId="30EAF496" w14:textId="2963BBCA" w:rsidR="0085600A" w:rsidRPr="001E7AD0" w:rsidRDefault="00F85F53" w:rsidP="009879A3">
      <w:pPr>
        <w:pStyle w:val="Caption"/>
        <w:jc w:val="center"/>
      </w:pPr>
      <w:r w:rsidRPr="001E7AD0">
        <w:t xml:space="preserve">Figure </w:t>
      </w:r>
      <w:r w:rsidRPr="001E7AD0">
        <w:fldChar w:fldCharType="begin"/>
      </w:r>
      <w:r w:rsidRPr="001E7AD0">
        <w:instrText xml:space="preserve"> SEQ Figure \* ARABIC </w:instrText>
      </w:r>
      <w:r w:rsidRPr="001E7AD0">
        <w:fldChar w:fldCharType="separate"/>
      </w:r>
      <w:r w:rsidR="001853DE">
        <w:rPr>
          <w:noProof/>
        </w:rPr>
        <w:t>2</w:t>
      </w:r>
      <w:r w:rsidRPr="001E7AD0">
        <w:fldChar w:fldCharType="end"/>
      </w:r>
      <w:r w:rsidRPr="001E7AD0">
        <w:t xml:space="preserve">: </w:t>
      </w:r>
      <w:r w:rsidR="009879A3" w:rsidRPr="001E7AD0">
        <w:t>Definition of Timing Advance in TS 38.211</w:t>
      </w:r>
    </w:p>
    <w:p w14:paraId="5038103E" w14:textId="7822C606" w:rsidR="002C0261" w:rsidRPr="001E7AD0" w:rsidRDefault="0085600A" w:rsidP="00FF09B0">
      <w:pPr>
        <w:jc w:val="both"/>
      </w:pPr>
      <w:r w:rsidRPr="001E7AD0">
        <w:t xml:space="preserve">TA is </w:t>
      </w:r>
      <w:r w:rsidR="005048DA" w:rsidRPr="001E7AD0">
        <w:t>a</w:t>
      </w:r>
      <w:r w:rsidRPr="001E7AD0">
        <w:t xml:space="preserve"> UE</w:t>
      </w:r>
      <w:r w:rsidR="00560539" w:rsidRPr="001E7AD0">
        <w:t xml:space="preserve"> (IAB-</w:t>
      </w:r>
      <w:r w:rsidRPr="001E7AD0">
        <w:t>MT</w:t>
      </w:r>
      <w:r w:rsidR="00560539" w:rsidRPr="001E7AD0">
        <w:t>)</w:t>
      </w:r>
      <w:r w:rsidRPr="001E7AD0">
        <w:t xml:space="preserve"> setting. If the UE knows its UL and corresponding DL frame</w:t>
      </w:r>
      <w:r w:rsidR="00891B65" w:rsidRPr="001E7AD0">
        <w:t xml:space="preserve"> start, it knows its TA and therefore also its corresponding N_TA (because of above 1:1 relation between TA and N_TA). This does not put any limitation on how a certain TA is derived or set. During standard UE operation, N_TA is modified by the base station, for the base station to achieve a certain UL Rx timing. </w:t>
      </w:r>
      <w:r w:rsidR="00EE7F09" w:rsidRPr="001E7AD0">
        <w:t xml:space="preserve">In Case-6 timing configurations, the TA is the result from the </w:t>
      </w:r>
      <w:r w:rsidR="002A37B9" w:rsidRPr="001E7AD0">
        <w:t>IAB-</w:t>
      </w:r>
      <w:r w:rsidR="00EE7F09" w:rsidRPr="001E7AD0">
        <w:t xml:space="preserve">node setting </w:t>
      </w:r>
      <w:r w:rsidR="002A37B9" w:rsidRPr="001E7AD0">
        <w:t>its</w:t>
      </w:r>
      <w:r w:rsidR="00EE7F09" w:rsidRPr="001E7AD0">
        <w:t xml:space="preserve"> IAB-MT</w:t>
      </w:r>
      <w:r w:rsidR="00C84953" w:rsidRPr="001E7AD0">
        <w:t>’s UL</w:t>
      </w:r>
      <w:r w:rsidR="00EE7F09" w:rsidRPr="001E7AD0">
        <w:t xml:space="preserve"> Tx timing to the timing obtained for the </w:t>
      </w:r>
      <w:r w:rsidR="00C84953" w:rsidRPr="001E7AD0">
        <w:t>IAB-DU</w:t>
      </w:r>
      <w:r w:rsidR="00EE7F09" w:rsidRPr="001E7AD0">
        <w:t>’s DL Tx. It is not the result of any parent node timing intervention.</w:t>
      </w:r>
    </w:p>
    <w:p w14:paraId="3ADE0D1D" w14:textId="3676172E" w:rsidR="002C0261" w:rsidRPr="001E7AD0" w:rsidRDefault="00EB4D5F" w:rsidP="00560539">
      <w:pPr>
        <w:pStyle w:val="Observation"/>
      </w:pPr>
      <w:r w:rsidRPr="001E7AD0">
        <w:br/>
      </w:r>
      <w:bookmarkStart w:id="14" w:name="_Toc87042490"/>
      <w:r w:rsidRPr="001E7AD0">
        <w:t>In Case-6 timing,</w:t>
      </w:r>
      <w:r w:rsidR="00FD3D13" w:rsidRPr="001E7AD0">
        <w:t xml:space="preserve"> the IAB-MT timing is not determined by the parent IAB-node, the TA is set by the IAB-node.</w:t>
      </w:r>
      <w:bookmarkEnd w:id="14"/>
    </w:p>
    <w:p w14:paraId="0FB2F78F" w14:textId="10C4B35B" w:rsidR="0085600A" w:rsidRPr="001E7AD0" w:rsidRDefault="0040149B" w:rsidP="00FF09B0">
      <w:pPr>
        <w:jc w:val="both"/>
      </w:pPr>
      <w:r w:rsidRPr="001E7AD0">
        <w:t>Thus, an MT is always aware of the N_TA</w:t>
      </w:r>
      <w:r w:rsidR="001B54FA" w:rsidRPr="001E7AD0">
        <w:t xml:space="preserve"> equivalent to its current TA.</w:t>
      </w:r>
      <w:r w:rsidR="00627A37" w:rsidRPr="001E7AD0">
        <w:t xml:space="preserve"> The TA framework definitions are also well defined for the Case-6 timing configuration.</w:t>
      </w:r>
    </w:p>
    <w:p w14:paraId="2E45954A" w14:textId="679BB717" w:rsidR="00627A37" w:rsidRPr="001E7AD0" w:rsidRDefault="00627A37" w:rsidP="00627A37">
      <w:pPr>
        <w:pStyle w:val="Observation"/>
      </w:pPr>
      <w:bookmarkStart w:id="15" w:name="_Toc87042491"/>
      <w:r w:rsidRPr="001E7AD0">
        <w:t>An MT is always aware of the N_TA equivalent to its current TA. The TA framework definitions are also well defined for the Case-6 timing configuration.</w:t>
      </w:r>
      <w:bookmarkEnd w:id="15"/>
    </w:p>
    <w:p w14:paraId="5A0F044F" w14:textId="6F35ED74" w:rsidR="00EE7F09" w:rsidRPr="001E7AD0" w:rsidRDefault="00EE7F09" w:rsidP="002B056E">
      <w:pPr>
        <w:jc w:val="both"/>
      </w:pPr>
      <w:r w:rsidRPr="001E7AD0">
        <w:t xml:space="preserve">Due to the agreement </w:t>
      </w:r>
      <w:r w:rsidR="00FD3D13" w:rsidRPr="001E7AD0">
        <w:t>about how a Case-6 IAB-MT Tx timing is set</w:t>
      </w:r>
      <w:r w:rsidRPr="001E7AD0">
        <w:t xml:space="preserve">, the IAB-MT cannot follow TA commands anymore, while the IAB-node is operating in Case-6 timing configuration. If the IAB-MT would </w:t>
      </w:r>
      <w:r w:rsidR="0037124A" w:rsidRPr="001E7AD0">
        <w:t>follow TA commands</w:t>
      </w:r>
      <w:r w:rsidRPr="001E7AD0">
        <w:t xml:space="preserve">, the IAB-node would fail to operate according to agreement. </w:t>
      </w:r>
    </w:p>
    <w:p w14:paraId="2DCD330C" w14:textId="3FD86CC5" w:rsidR="00AD24E5" w:rsidRPr="001E7AD0" w:rsidRDefault="00AD24E5" w:rsidP="00AD24E5">
      <w:pPr>
        <w:pStyle w:val="Observation"/>
      </w:pPr>
      <w:bookmarkStart w:id="16" w:name="_Toc87042492"/>
      <w:r w:rsidRPr="001E7AD0">
        <w:lastRenderedPageBreak/>
        <w:t>By agreement, the IAB-MT cannot follow TA commands, while the IAB-node is operating in Case-6 timing configuration.</w:t>
      </w:r>
      <w:bookmarkEnd w:id="16"/>
    </w:p>
    <w:p w14:paraId="7C3743F0" w14:textId="19C102C8" w:rsidR="00C76A34" w:rsidRPr="001E7AD0" w:rsidRDefault="00C439B3" w:rsidP="003B69D0">
      <w:pPr>
        <w:pStyle w:val="Heading2"/>
        <w:rPr>
          <w:lang w:val="en-US"/>
        </w:rPr>
      </w:pPr>
      <w:r w:rsidRPr="001E7AD0">
        <w:rPr>
          <w:lang w:val="en-US"/>
        </w:rPr>
        <w:t>Case-6 Timing</w:t>
      </w:r>
    </w:p>
    <w:p w14:paraId="56D0BDCC" w14:textId="38FF5BA2" w:rsidR="0045130A" w:rsidRPr="001E7AD0" w:rsidRDefault="0045130A" w:rsidP="003B69D0">
      <w:pPr>
        <w:pStyle w:val="Heading3"/>
        <w:rPr>
          <w:lang w:val="en-US"/>
        </w:rPr>
      </w:pPr>
      <w:r w:rsidRPr="001E7AD0">
        <w:rPr>
          <w:lang w:val="en-US"/>
        </w:rPr>
        <w:t>Support of OTA Synchronization</w:t>
      </w:r>
    </w:p>
    <w:p w14:paraId="3750EA80" w14:textId="66138820" w:rsidR="00C439B3" w:rsidRPr="001E7AD0" w:rsidRDefault="00C439B3" w:rsidP="00C439B3">
      <w:pPr>
        <w:spacing w:before="240"/>
        <w:jc w:val="both"/>
      </w:pPr>
      <w:r w:rsidRPr="001E7AD0">
        <w:t xml:space="preserve">In a Case-1 timing operation, the parent IAB-node can provide information about its relation of DL Tx and UL Rx timing in form of a </w:t>
      </w:r>
      <w:proofErr w:type="spellStart"/>
      <w:r w:rsidR="003B69D0" w:rsidRPr="001E7AD0">
        <w:t>T_</w:t>
      </w:r>
      <w:proofErr w:type="gramStart"/>
      <w:r w:rsidR="003B69D0" w:rsidRPr="001E7AD0">
        <w:t>delta,index</w:t>
      </w:r>
      <w:proofErr w:type="spellEnd"/>
      <w:proofErr w:type="gramEnd"/>
      <w:r w:rsidRPr="001E7AD0">
        <w:t xml:space="preserve"> MAC CE signaling to the IAB-node. </w:t>
      </w:r>
      <w:r w:rsidR="005F3062" w:rsidRPr="001E7AD0">
        <w:t>Regardless of</w:t>
      </w:r>
      <w:r w:rsidRPr="001E7AD0">
        <w:t xml:space="preserve"> how long an IAB-node is operating in a Case-6 timing configuration, it still needs to maintain its DL Tx timing with support information from the parent node.</w:t>
      </w:r>
    </w:p>
    <w:p w14:paraId="1B5341F8" w14:textId="3BE61162" w:rsidR="00C439B3" w:rsidRPr="001E7AD0" w:rsidRDefault="00C439B3" w:rsidP="00C439B3">
      <w:pPr>
        <w:jc w:val="both"/>
        <w:rPr>
          <w:rFonts w:cs="Arial"/>
          <w:lang w:eastAsia="ja-JP"/>
        </w:rPr>
      </w:pPr>
      <w:r w:rsidRPr="001E7AD0">
        <w:rPr>
          <w:lang w:eastAsia="ja-JP"/>
        </w:rPr>
        <w:t xml:space="preserve">Based on the guidance by RAN4 </w:t>
      </w:r>
      <w:r w:rsidRPr="001E7AD0">
        <w:rPr>
          <w:lang w:eastAsia="ja-JP"/>
        </w:rPr>
        <w:fldChar w:fldCharType="begin"/>
      </w:r>
      <w:r w:rsidRPr="001E7AD0">
        <w:rPr>
          <w:lang w:eastAsia="ja-JP"/>
        </w:rPr>
        <w:instrText xml:space="preserve"> REF _Ref83991730 \w \h  \* MERGEFORMAT </w:instrText>
      </w:r>
      <w:r w:rsidRPr="001E7AD0">
        <w:rPr>
          <w:lang w:eastAsia="ja-JP"/>
        </w:rPr>
      </w:r>
      <w:r w:rsidRPr="001E7AD0">
        <w:rPr>
          <w:lang w:eastAsia="ja-JP"/>
        </w:rPr>
        <w:fldChar w:fldCharType="separate"/>
      </w:r>
      <w:r w:rsidR="001853DE">
        <w:rPr>
          <w:lang w:eastAsia="ja-JP"/>
        </w:rPr>
        <w:t>[10]</w:t>
      </w:r>
      <w:r w:rsidRPr="001E7AD0">
        <w:rPr>
          <w:lang w:eastAsia="ja-JP"/>
        </w:rPr>
        <w:fldChar w:fldCharType="end"/>
      </w:r>
      <w:r w:rsidRPr="001E7AD0">
        <w:rPr>
          <w:lang w:eastAsia="ja-JP"/>
        </w:rPr>
        <w:t xml:space="preserve"> on a range (and related granularity) of </w:t>
      </w:r>
      <w:proofErr w:type="spellStart"/>
      <w:r w:rsidRPr="001E7AD0">
        <w:rPr>
          <w:lang w:eastAsia="ja-JP"/>
        </w:rPr>
        <w:t>T_delta</w:t>
      </w:r>
      <w:proofErr w:type="spellEnd"/>
      <w:r w:rsidRPr="001E7AD0">
        <w:rPr>
          <w:lang w:eastAsia="ja-JP"/>
        </w:rPr>
        <w:t xml:space="preserve"> (the </w:t>
      </w:r>
      <w:r w:rsidRPr="001E7AD0">
        <w:rPr>
          <w:i/>
          <w:iCs/>
          <w:lang w:eastAsia="ja-JP"/>
        </w:rPr>
        <w:t>time</w:t>
      </w:r>
      <w:r w:rsidRPr="001E7AD0">
        <w:rPr>
          <w:lang w:eastAsia="ja-JP"/>
        </w:rPr>
        <w:t xml:space="preserve"> difference between the parent IAB-node’s DL Tx and UL Rx timing), the (currently specified) minimum</w:t>
      </w:r>
      <w:r w:rsidRPr="001E7AD0">
        <w:rPr>
          <w:rFonts w:cs="Arial"/>
          <w:lang w:eastAsia="ja-JP"/>
        </w:rPr>
        <w:t xml:space="preserve"> and maximum </w:t>
      </w:r>
      <w:proofErr w:type="spellStart"/>
      <w:r w:rsidRPr="001E7AD0">
        <w:rPr>
          <w:rFonts w:cs="Arial"/>
          <w:lang w:eastAsia="ja-JP"/>
        </w:rPr>
        <w:t>T_delta,index</w:t>
      </w:r>
      <w:proofErr w:type="spellEnd"/>
      <w:r w:rsidRPr="001E7AD0">
        <w:rPr>
          <w:rFonts w:cs="Arial"/>
          <w:lang w:eastAsia="ja-JP"/>
        </w:rPr>
        <w:t xml:space="preserve"> </w:t>
      </w:r>
      <w:r w:rsidRPr="001E7AD0">
        <w:rPr>
          <w:lang w:eastAsia="ja-JP"/>
        </w:rPr>
        <w:t>(</w:t>
      </w:r>
      <w:r w:rsidRPr="001E7AD0">
        <w:rPr>
          <w:rFonts w:cs="Arial"/>
          <w:lang w:eastAsia="ja-JP"/>
        </w:rPr>
        <w:t xml:space="preserve">as signaled by MAC CE in TS 38.213 </w:t>
      </w:r>
      <w:r w:rsidRPr="001E7AD0">
        <w:rPr>
          <w:rFonts w:cs="Arial"/>
          <w:lang w:eastAsia="ja-JP"/>
        </w:rPr>
        <w:fldChar w:fldCharType="begin"/>
      </w:r>
      <w:r w:rsidRPr="001E7AD0">
        <w:rPr>
          <w:rFonts w:cs="Arial"/>
          <w:lang w:eastAsia="ja-JP"/>
        </w:rPr>
        <w:instrText xml:space="preserve"> REF _Ref79153754 \w \h  \* MERGEFORMAT </w:instrText>
      </w:r>
      <w:r w:rsidRPr="001E7AD0">
        <w:rPr>
          <w:rFonts w:cs="Arial"/>
          <w:lang w:eastAsia="ja-JP"/>
        </w:rPr>
      </w:r>
      <w:r w:rsidRPr="001E7AD0">
        <w:rPr>
          <w:rFonts w:cs="Arial"/>
          <w:lang w:eastAsia="ja-JP"/>
        </w:rPr>
        <w:fldChar w:fldCharType="separate"/>
      </w:r>
      <w:r w:rsidR="001853DE">
        <w:rPr>
          <w:rFonts w:cs="Arial"/>
          <w:lang w:eastAsia="ja-JP"/>
        </w:rPr>
        <w:t>[7]</w:t>
      </w:r>
      <w:r w:rsidRPr="001E7AD0">
        <w:rPr>
          <w:rFonts w:cs="Arial"/>
          <w:lang w:eastAsia="ja-JP"/>
        </w:rPr>
        <w:fldChar w:fldCharType="end"/>
      </w:r>
      <w:r w:rsidRPr="001E7AD0">
        <w:rPr>
          <w:lang w:eastAsia="ja-JP"/>
        </w:rPr>
        <w:t xml:space="preserve">) </w:t>
      </w:r>
      <w:r w:rsidRPr="001E7AD0">
        <w:rPr>
          <w:rFonts w:cs="Arial"/>
          <w:lang w:eastAsia="ja-JP"/>
        </w:rPr>
        <w:t>for timing configuration Case-1 is shown in</w:t>
      </w:r>
      <w:r w:rsidR="00D26CF0" w:rsidRPr="001E7AD0">
        <w:rPr>
          <w:rFonts w:cs="Arial"/>
          <w:lang w:eastAsia="ja-JP"/>
        </w:rPr>
        <w:t xml:space="preserve"> </w:t>
      </w:r>
      <w:r w:rsidR="00D26CF0" w:rsidRPr="001E7AD0">
        <w:rPr>
          <w:rFonts w:cs="Arial"/>
          <w:lang w:eastAsia="ja-JP"/>
        </w:rPr>
        <w:fldChar w:fldCharType="begin"/>
      </w:r>
      <w:r w:rsidR="00D26CF0" w:rsidRPr="001E7AD0">
        <w:rPr>
          <w:rFonts w:cs="Arial"/>
          <w:lang w:eastAsia="ja-JP"/>
        </w:rPr>
        <w:instrText xml:space="preserve"> REF _Ref87003373 \h </w:instrText>
      </w:r>
      <w:r w:rsidR="00D26CF0" w:rsidRPr="001E7AD0">
        <w:rPr>
          <w:rFonts w:cs="Arial"/>
          <w:lang w:eastAsia="ja-JP"/>
        </w:rPr>
      </w:r>
      <w:r w:rsidR="00D26CF0" w:rsidRPr="001E7AD0">
        <w:rPr>
          <w:rFonts w:cs="Arial"/>
          <w:lang w:eastAsia="ja-JP"/>
        </w:rPr>
        <w:fldChar w:fldCharType="separate"/>
      </w:r>
      <w:r w:rsidR="001853DE" w:rsidRPr="001E7AD0">
        <w:t xml:space="preserve">Table </w:t>
      </w:r>
      <w:r w:rsidR="001853DE">
        <w:rPr>
          <w:noProof/>
        </w:rPr>
        <w:t>1</w:t>
      </w:r>
      <w:r w:rsidR="00D26CF0" w:rsidRPr="001E7AD0">
        <w:rPr>
          <w:rFonts w:cs="Arial"/>
          <w:lang w:eastAsia="ja-JP"/>
        </w:rPr>
        <w:fldChar w:fldCharType="end"/>
      </w:r>
      <w:r w:rsidRPr="001E7AD0">
        <w:rPr>
          <w:rFonts w:cs="Arial"/>
          <w:lang w:eastAsia="ja-JP"/>
        </w:rPr>
        <w:t xml:space="preserve">. A derivation for the ranges of </w:t>
      </w:r>
      <w:proofErr w:type="spellStart"/>
      <w:r w:rsidRPr="001E7AD0">
        <w:rPr>
          <w:rFonts w:cs="Arial"/>
          <w:lang w:eastAsia="ja-JP"/>
        </w:rPr>
        <w:t>T_</w:t>
      </w:r>
      <w:proofErr w:type="gramStart"/>
      <w:r w:rsidRPr="001E7AD0">
        <w:rPr>
          <w:rFonts w:cs="Arial"/>
          <w:lang w:eastAsia="ja-JP"/>
        </w:rPr>
        <w:t>delta,index</w:t>
      </w:r>
      <w:proofErr w:type="spellEnd"/>
      <w:proofErr w:type="gramEnd"/>
      <w:r w:rsidRPr="001E7AD0">
        <w:rPr>
          <w:rFonts w:cs="Arial"/>
          <w:lang w:eastAsia="ja-JP"/>
        </w:rPr>
        <w:t xml:space="preserve"> is given in </w:t>
      </w:r>
      <w:r w:rsidRPr="001E7AD0">
        <w:rPr>
          <w:rFonts w:cs="Arial"/>
          <w:lang w:eastAsia="ja-JP"/>
        </w:rPr>
        <w:fldChar w:fldCharType="begin"/>
      </w:r>
      <w:r w:rsidRPr="001E7AD0">
        <w:rPr>
          <w:rFonts w:cs="Arial"/>
          <w:lang w:eastAsia="ja-JP"/>
        </w:rPr>
        <w:instrText xml:space="preserve"> REF _Ref79015341 \w \h  \* MERGEFORMAT </w:instrText>
      </w:r>
      <w:r w:rsidRPr="001E7AD0">
        <w:rPr>
          <w:rFonts w:cs="Arial"/>
          <w:lang w:eastAsia="ja-JP"/>
        </w:rPr>
      </w:r>
      <w:r w:rsidRPr="001E7AD0">
        <w:rPr>
          <w:rFonts w:cs="Arial"/>
          <w:lang w:eastAsia="ja-JP"/>
        </w:rPr>
        <w:fldChar w:fldCharType="separate"/>
      </w:r>
      <w:r w:rsidR="001853DE">
        <w:rPr>
          <w:rFonts w:cs="Arial"/>
          <w:lang w:eastAsia="ja-JP"/>
        </w:rPr>
        <w:t>[8]</w:t>
      </w:r>
      <w:r w:rsidRPr="001E7AD0">
        <w:rPr>
          <w:rFonts w:cs="Arial"/>
          <w:lang w:eastAsia="ja-JP"/>
        </w:rPr>
        <w:fldChar w:fldCharType="end"/>
      </w:r>
      <w:r w:rsidRPr="001E7AD0">
        <w:rPr>
          <w:rFonts w:cs="Arial"/>
          <w:lang w:eastAsia="ja-JP"/>
        </w:rPr>
        <w:t>.</w:t>
      </w:r>
    </w:p>
    <w:p w14:paraId="6E6733E9" w14:textId="0294088E" w:rsidR="00C439B3" w:rsidRPr="001E7AD0" w:rsidRDefault="00C439B3" w:rsidP="00BA40BA">
      <w:pPr>
        <w:pStyle w:val="Caption"/>
        <w:jc w:val="center"/>
        <w:rPr>
          <w:lang w:eastAsia="ja-JP"/>
        </w:rPr>
      </w:pPr>
      <w:bookmarkStart w:id="17" w:name="_Ref87003373"/>
      <w:r w:rsidRPr="001E7AD0">
        <w:t xml:space="preserve">Table </w:t>
      </w:r>
      <w:r w:rsidRPr="001E7AD0">
        <w:fldChar w:fldCharType="begin"/>
      </w:r>
      <w:r w:rsidRPr="001E7AD0">
        <w:instrText xml:space="preserve"> SEQ Table \* ARABIC </w:instrText>
      </w:r>
      <w:r w:rsidRPr="001E7AD0">
        <w:fldChar w:fldCharType="separate"/>
      </w:r>
      <w:r w:rsidR="001853DE">
        <w:rPr>
          <w:noProof/>
        </w:rPr>
        <w:t>1</w:t>
      </w:r>
      <w:r w:rsidRPr="001E7AD0">
        <w:fldChar w:fldCharType="end"/>
      </w:r>
      <w:bookmarkEnd w:id="17"/>
      <w:r w:rsidRPr="001E7AD0">
        <w:t xml:space="preserve">: Range of </w:t>
      </w:r>
      <w:proofErr w:type="spellStart"/>
      <w:r w:rsidRPr="001E7AD0">
        <w:t>T_</w:t>
      </w:r>
      <w:proofErr w:type="gramStart"/>
      <w:r w:rsidRPr="001E7AD0">
        <w:t>delta,index</w:t>
      </w:r>
      <w:proofErr w:type="spellEnd"/>
      <w:proofErr w:type="gramEnd"/>
      <w:r w:rsidRPr="001E7AD0">
        <w:t xml:space="preserve"> (MAC CE) for Case-1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95"/>
        <w:gridCol w:w="1851"/>
      </w:tblGrid>
      <w:tr w:rsidR="00C439B3" w:rsidRPr="001E7AD0" w14:paraId="5BF16E53" w14:textId="77777777" w:rsidTr="0086618B">
        <w:trPr>
          <w:jc w:val="center"/>
        </w:trPr>
        <w:tc>
          <w:tcPr>
            <w:tcW w:w="0" w:type="auto"/>
            <w:tcBorders>
              <w:top w:val="single" w:sz="4" w:space="0" w:color="auto"/>
              <w:left w:val="single" w:sz="4" w:space="0" w:color="auto"/>
            </w:tcBorders>
            <w:shd w:val="clear" w:color="auto" w:fill="auto"/>
          </w:tcPr>
          <w:p w14:paraId="171C95BF" w14:textId="77777777" w:rsidR="00C439B3" w:rsidRPr="001E7AD0" w:rsidRDefault="00C439B3" w:rsidP="0086618B">
            <w:pPr>
              <w:jc w:val="both"/>
              <w:rPr>
                <w:rFonts w:cs="Arial"/>
              </w:rPr>
            </w:pPr>
            <w:r w:rsidRPr="001E7AD0">
              <w:rPr>
                <w:rFonts w:cs="Arial"/>
              </w:rPr>
              <w:t>SCS [kHz]</w:t>
            </w:r>
          </w:p>
        </w:tc>
        <w:tc>
          <w:tcPr>
            <w:tcW w:w="0" w:type="auto"/>
            <w:shd w:val="clear" w:color="auto" w:fill="auto"/>
          </w:tcPr>
          <w:p w14:paraId="3EA98878" w14:textId="77777777" w:rsidR="00C439B3" w:rsidRPr="001E7AD0" w:rsidRDefault="00C439B3" w:rsidP="0086618B">
            <w:pPr>
              <w:jc w:val="both"/>
              <w:rPr>
                <w:rFonts w:cs="Arial"/>
              </w:rPr>
            </w:pPr>
            <w:r w:rsidRPr="001E7AD0">
              <w:rPr>
                <w:rFonts w:cs="Arial"/>
              </w:rPr>
              <w:t xml:space="preserve">Min </w:t>
            </w:r>
            <w:proofErr w:type="spellStart"/>
            <w:r w:rsidRPr="001E7AD0">
              <w:rPr>
                <w:rFonts w:cs="Arial"/>
              </w:rPr>
              <w:t>T_</w:t>
            </w:r>
            <w:proofErr w:type="gramStart"/>
            <w:r w:rsidRPr="001E7AD0">
              <w:rPr>
                <w:rFonts w:cs="Arial"/>
              </w:rPr>
              <w:t>delta,index</w:t>
            </w:r>
            <w:proofErr w:type="spellEnd"/>
            <w:proofErr w:type="gramEnd"/>
          </w:p>
        </w:tc>
        <w:tc>
          <w:tcPr>
            <w:tcW w:w="0" w:type="auto"/>
            <w:shd w:val="clear" w:color="auto" w:fill="auto"/>
          </w:tcPr>
          <w:p w14:paraId="08E53365" w14:textId="77777777" w:rsidR="00C439B3" w:rsidRPr="001E7AD0" w:rsidRDefault="00C439B3" w:rsidP="0086618B">
            <w:pPr>
              <w:jc w:val="both"/>
              <w:rPr>
                <w:rFonts w:cs="Arial"/>
              </w:rPr>
            </w:pPr>
            <w:r w:rsidRPr="001E7AD0">
              <w:rPr>
                <w:rFonts w:cs="Arial"/>
              </w:rPr>
              <w:t xml:space="preserve">Max </w:t>
            </w:r>
            <w:proofErr w:type="spellStart"/>
            <w:r w:rsidRPr="001E7AD0">
              <w:rPr>
                <w:rFonts w:cs="Arial"/>
              </w:rPr>
              <w:t>T_</w:t>
            </w:r>
            <w:proofErr w:type="gramStart"/>
            <w:r w:rsidRPr="001E7AD0">
              <w:rPr>
                <w:rFonts w:cs="Arial"/>
              </w:rPr>
              <w:t>delta,index</w:t>
            </w:r>
            <w:proofErr w:type="spellEnd"/>
            <w:proofErr w:type="gramEnd"/>
          </w:p>
        </w:tc>
      </w:tr>
      <w:tr w:rsidR="00C439B3" w:rsidRPr="001E7AD0" w14:paraId="7D9E534D" w14:textId="77777777" w:rsidTr="0086618B">
        <w:trPr>
          <w:jc w:val="center"/>
        </w:trPr>
        <w:tc>
          <w:tcPr>
            <w:tcW w:w="0" w:type="auto"/>
            <w:shd w:val="clear" w:color="auto" w:fill="auto"/>
          </w:tcPr>
          <w:p w14:paraId="58224EAD" w14:textId="77777777" w:rsidR="00C439B3" w:rsidRPr="001E7AD0" w:rsidRDefault="00C439B3" w:rsidP="0086618B">
            <w:pPr>
              <w:jc w:val="both"/>
              <w:rPr>
                <w:rFonts w:cs="Arial"/>
              </w:rPr>
            </w:pPr>
            <w:r w:rsidRPr="001E7AD0">
              <w:rPr>
                <w:rFonts w:cs="Arial"/>
              </w:rPr>
              <w:t>15</w:t>
            </w:r>
          </w:p>
        </w:tc>
        <w:tc>
          <w:tcPr>
            <w:tcW w:w="0" w:type="auto"/>
            <w:shd w:val="clear" w:color="auto" w:fill="auto"/>
            <w:vAlign w:val="bottom"/>
          </w:tcPr>
          <w:p w14:paraId="37312B99" w14:textId="77777777" w:rsidR="00C439B3" w:rsidRPr="001E7AD0" w:rsidDel="00B37B10" w:rsidRDefault="00C439B3" w:rsidP="0086618B">
            <w:pPr>
              <w:jc w:val="both"/>
              <w:rPr>
                <w:rFonts w:cs="Arial"/>
                <w:color w:val="000000"/>
              </w:rPr>
            </w:pPr>
            <w:r w:rsidRPr="001E7AD0">
              <w:rPr>
                <w:rFonts w:cs="Arial"/>
                <w:color w:val="000000"/>
              </w:rPr>
              <w:t>0</w:t>
            </w:r>
          </w:p>
        </w:tc>
        <w:tc>
          <w:tcPr>
            <w:tcW w:w="0" w:type="auto"/>
            <w:shd w:val="clear" w:color="auto" w:fill="auto"/>
          </w:tcPr>
          <w:p w14:paraId="746263DF" w14:textId="77777777" w:rsidR="00C439B3" w:rsidRPr="001E7AD0" w:rsidRDefault="00C439B3" w:rsidP="0086618B">
            <w:pPr>
              <w:jc w:val="both"/>
              <w:rPr>
                <w:rFonts w:cs="Arial"/>
              </w:rPr>
            </w:pPr>
            <w:r w:rsidRPr="001E7AD0">
              <w:rPr>
                <w:rFonts w:cs="Arial"/>
                <w:color w:val="000000"/>
              </w:rPr>
              <w:t>1199</w:t>
            </w:r>
          </w:p>
        </w:tc>
      </w:tr>
      <w:tr w:rsidR="00C439B3" w:rsidRPr="001E7AD0" w14:paraId="39C59E10" w14:textId="77777777" w:rsidTr="0086618B">
        <w:trPr>
          <w:jc w:val="center"/>
        </w:trPr>
        <w:tc>
          <w:tcPr>
            <w:tcW w:w="0" w:type="auto"/>
            <w:shd w:val="clear" w:color="auto" w:fill="auto"/>
          </w:tcPr>
          <w:p w14:paraId="3DEEA363" w14:textId="77777777" w:rsidR="00C439B3" w:rsidRPr="001E7AD0" w:rsidRDefault="00C439B3" w:rsidP="0086618B">
            <w:pPr>
              <w:jc w:val="both"/>
              <w:rPr>
                <w:rFonts w:cs="Arial"/>
              </w:rPr>
            </w:pPr>
            <w:r w:rsidRPr="001E7AD0">
              <w:rPr>
                <w:rFonts w:cs="Arial"/>
              </w:rPr>
              <w:t>30</w:t>
            </w:r>
          </w:p>
        </w:tc>
        <w:tc>
          <w:tcPr>
            <w:tcW w:w="0" w:type="auto"/>
            <w:shd w:val="clear" w:color="auto" w:fill="auto"/>
            <w:vAlign w:val="bottom"/>
          </w:tcPr>
          <w:p w14:paraId="06FEF4E5" w14:textId="77777777" w:rsidR="00C439B3" w:rsidRPr="001E7AD0" w:rsidDel="00F94ED9" w:rsidRDefault="00C439B3" w:rsidP="0086618B">
            <w:pPr>
              <w:jc w:val="both"/>
              <w:rPr>
                <w:rFonts w:cs="Arial"/>
              </w:rPr>
            </w:pPr>
            <w:r w:rsidRPr="001E7AD0">
              <w:rPr>
                <w:rFonts w:cs="Arial"/>
                <w:color w:val="000000"/>
              </w:rPr>
              <w:t>550</w:t>
            </w:r>
          </w:p>
        </w:tc>
        <w:tc>
          <w:tcPr>
            <w:tcW w:w="0" w:type="auto"/>
            <w:shd w:val="clear" w:color="auto" w:fill="auto"/>
          </w:tcPr>
          <w:p w14:paraId="7E05A631" w14:textId="77777777" w:rsidR="00C439B3" w:rsidRPr="001E7AD0" w:rsidRDefault="00C439B3" w:rsidP="0086618B">
            <w:pPr>
              <w:jc w:val="both"/>
              <w:rPr>
                <w:rFonts w:cs="Arial"/>
              </w:rPr>
            </w:pPr>
            <w:r w:rsidRPr="001E7AD0">
              <w:rPr>
                <w:rFonts w:cs="Arial"/>
              </w:rPr>
              <w:t>1197</w:t>
            </w:r>
          </w:p>
        </w:tc>
      </w:tr>
      <w:tr w:rsidR="00C439B3" w:rsidRPr="001E7AD0" w14:paraId="6DCE5F9A" w14:textId="77777777" w:rsidTr="0086618B">
        <w:trPr>
          <w:jc w:val="center"/>
        </w:trPr>
        <w:tc>
          <w:tcPr>
            <w:tcW w:w="0" w:type="auto"/>
            <w:shd w:val="clear" w:color="auto" w:fill="auto"/>
          </w:tcPr>
          <w:p w14:paraId="6D4D93D1" w14:textId="77777777" w:rsidR="00C439B3" w:rsidRPr="001E7AD0" w:rsidRDefault="00C439B3" w:rsidP="0086618B">
            <w:pPr>
              <w:jc w:val="both"/>
              <w:rPr>
                <w:rFonts w:cs="Arial"/>
              </w:rPr>
            </w:pPr>
            <w:r w:rsidRPr="001E7AD0">
              <w:rPr>
                <w:rFonts w:cs="Arial"/>
              </w:rPr>
              <w:t>60</w:t>
            </w:r>
          </w:p>
        </w:tc>
        <w:tc>
          <w:tcPr>
            <w:tcW w:w="0" w:type="auto"/>
            <w:shd w:val="clear" w:color="auto" w:fill="auto"/>
            <w:vAlign w:val="bottom"/>
          </w:tcPr>
          <w:p w14:paraId="542CA81E" w14:textId="77777777" w:rsidR="00C439B3" w:rsidRPr="001E7AD0" w:rsidDel="00F94ED9" w:rsidRDefault="00C439B3" w:rsidP="0086618B">
            <w:pPr>
              <w:jc w:val="both"/>
              <w:rPr>
                <w:rFonts w:cs="Arial"/>
              </w:rPr>
            </w:pPr>
            <w:r w:rsidRPr="001E7AD0">
              <w:rPr>
                <w:rFonts w:cs="Arial"/>
              </w:rPr>
              <w:t>0</w:t>
            </w:r>
          </w:p>
        </w:tc>
        <w:tc>
          <w:tcPr>
            <w:tcW w:w="0" w:type="auto"/>
            <w:shd w:val="clear" w:color="auto" w:fill="auto"/>
          </w:tcPr>
          <w:p w14:paraId="503A7604" w14:textId="77777777" w:rsidR="00C439B3" w:rsidRPr="001E7AD0" w:rsidRDefault="00C439B3" w:rsidP="0086618B">
            <w:pPr>
              <w:jc w:val="both"/>
              <w:rPr>
                <w:rFonts w:cs="Arial"/>
              </w:rPr>
            </w:pPr>
            <w:r w:rsidRPr="001E7AD0">
              <w:rPr>
                <w:rFonts w:cs="Arial"/>
                <w:color w:val="000000"/>
              </w:rPr>
              <w:t>740</w:t>
            </w:r>
          </w:p>
        </w:tc>
      </w:tr>
      <w:tr w:rsidR="00C439B3" w:rsidRPr="001E7AD0" w14:paraId="7FA0F34B" w14:textId="77777777" w:rsidTr="0086618B">
        <w:trPr>
          <w:jc w:val="center"/>
        </w:trPr>
        <w:tc>
          <w:tcPr>
            <w:tcW w:w="0" w:type="auto"/>
            <w:shd w:val="clear" w:color="auto" w:fill="auto"/>
          </w:tcPr>
          <w:p w14:paraId="21368338" w14:textId="77777777" w:rsidR="00C439B3" w:rsidRPr="001E7AD0" w:rsidRDefault="00C439B3" w:rsidP="0086618B">
            <w:pPr>
              <w:jc w:val="both"/>
              <w:rPr>
                <w:rFonts w:cs="Arial"/>
              </w:rPr>
            </w:pPr>
            <w:r w:rsidRPr="001E7AD0">
              <w:rPr>
                <w:rFonts w:cs="Arial"/>
              </w:rPr>
              <w:t>120</w:t>
            </w:r>
          </w:p>
        </w:tc>
        <w:tc>
          <w:tcPr>
            <w:tcW w:w="0" w:type="auto"/>
            <w:shd w:val="clear" w:color="auto" w:fill="auto"/>
            <w:vAlign w:val="bottom"/>
          </w:tcPr>
          <w:p w14:paraId="4354C0F4" w14:textId="77777777" w:rsidR="00C439B3" w:rsidRPr="001E7AD0" w:rsidRDefault="00C439B3" w:rsidP="0086618B">
            <w:pPr>
              <w:jc w:val="both"/>
              <w:rPr>
                <w:rFonts w:cs="Arial"/>
              </w:rPr>
            </w:pPr>
            <w:r w:rsidRPr="001E7AD0">
              <w:rPr>
                <w:rFonts w:cs="Arial"/>
              </w:rPr>
              <w:t>276</w:t>
            </w:r>
          </w:p>
        </w:tc>
        <w:tc>
          <w:tcPr>
            <w:tcW w:w="0" w:type="auto"/>
            <w:shd w:val="clear" w:color="auto" w:fill="auto"/>
          </w:tcPr>
          <w:p w14:paraId="257B20AA" w14:textId="77777777" w:rsidR="00C439B3" w:rsidRPr="001E7AD0" w:rsidRDefault="00C439B3" w:rsidP="0086618B">
            <w:pPr>
              <w:jc w:val="both"/>
              <w:rPr>
                <w:rFonts w:cs="Arial"/>
                <w:color w:val="000000"/>
              </w:rPr>
            </w:pPr>
            <w:r w:rsidRPr="001E7AD0">
              <w:rPr>
                <w:rFonts w:cs="Arial"/>
                <w:color w:val="000000"/>
              </w:rPr>
              <w:t>740</w:t>
            </w:r>
          </w:p>
        </w:tc>
      </w:tr>
    </w:tbl>
    <w:p w14:paraId="35955F37" w14:textId="09A0FD85" w:rsidR="00C439B3" w:rsidRPr="001E7AD0" w:rsidRDefault="00C439B3" w:rsidP="002A37B9">
      <w:pPr>
        <w:spacing w:before="240"/>
        <w:jc w:val="both"/>
      </w:pPr>
      <w:r w:rsidRPr="001E7AD0">
        <w:rPr>
          <w:lang w:eastAsia="ja-JP"/>
        </w:rPr>
        <w:t xml:space="preserve">In RAN1 specification, there is no limitation on </w:t>
      </w:r>
      <w:proofErr w:type="spellStart"/>
      <w:r w:rsidRPr="001E7AD0">
        <w:rPr>
          <w:lang w:eastAsia="ja-JP"/>
        </w:rPr>
        <w:t>T_</w:t>
      </w:r>
      <w:proofErr w:type="gramStart"/>
      <w:r w:rsidRPr="001E7AD0">
        <w:rPr>
          <w:lang w:eastAsia="ja-JP"/>
        </w:rPr>
        <w:t>delta,index</w:t>
      </w:r>
      <w:proofErr w:type="spellEnd"/>
      <w:proofErr w:type="gramEnd"/>
      <w:r w:rsidRPr="001E7AD0">
        <w:rPr>
          <w:lang w:eastAsia="ja-JP"/>
        </w:rPr>
        <w:t xml:space="preserve">. The only reference to a limited index range is stated in TS 38.321 </w:t>
      </w:r>
      <w:r w:rsidRPr="001E7AD0">
        <w:rPr>
          <w:lang w:eastAsia="ja-JP"/>
        </w:rPr>
        <w:fldChar w:fldCharType="begin"/>
      </w:r>
      <w:r w:rsidRPr="001E7AD0">
        <w:rPr>
          <w:lang w:eastAsia="ja-JP"/>
        </w:rPr>
        <w:instrText xml:space="preserve"> REF _Ref83991798 \w \h  \* MERGEFORMAT </w:instrText>
      </w:r>
      <w:r w:rsidRPr="001E7AD0">
        <w:rPr>
          <w:lang w:eastAsia="ja-JP"/>
        </w:rPr>
      </w:r>
      <w:r w:rsidRPr="001E7AD0">
        <w:rPr>
          <w:lang w:eastAsia="ja-JP"/>
        </w:rPr>
        <w:fldChar w:fldCharType="separate"/>
      </w:r>
      <w:r w:rsidR="001853DE">
        <w:rPr>
          <w:lang w:eastAsia="ja-JP"/>
        </w:rPr>
        <w:t>[11]</w:t>
      </w:r>
      <w:r w:rsidRPr="001E7AD0">
        <w:rPr>
          <w:lang w:eastAsia="ja-JP"/>
        </w:rPr>
        <w:fldChar w:fldCharType="end"/>
      </w:r>
      <w:r w:rsidRPr="001E7AD0">
        <w:rPr>
          <w:lang w:eastAsia="ja-JP"/>
        </w:rPr>
        <w:t xml:space="preserve">, where the </w:t>
      </w:r>
      <w:proofErr w:type="spellStart"/>
      <w:r w:rsidRPr="001E7AD0">
        <w:rPr>
          <w:lang w:eastAsia="ja-JP"/>
        </w:rPr>
        <w:t>T_</w:t>
      </w:r>
      <w:proofErr w:type="gramStart"/>
      <w:r w:rsidRPr="001E7AD0">
        <w:rPr>
          <w:lang w:eastAsia="ja-JP"/>
        </w:rPr>
        <w:t>delta,index</w:t>
      </w:r>
      <w:proofErr w:type="spellEnd"/>
      <w:proofErr w:type="gramEnd"/>
      <w:r w:rsidRPr="001E7AD0">
        <w:rPr>
          <w:lang w:eastAsia="ja-JP"/>
        </w:rPr>
        <w:t xml:space="preserve"> range is (0…1199).</w:t>
      </w:r>
    </w:p>
    <w:p w14:paraId="121E75AE" w14:textId="5F59CEDF" w:rsidR="00C439B3" w:rsidRPr="001E7AD0" w:rsidRDefault="00C439B3" w:rsidP="00BA40BA">
      <w:pPr>
        <w:pStyle w:val="Observation"/>
      </w:pPr>
      <w:bookmarkStart w:id="18" w:name="_Toc87042493"/>
      <w:r w:rsidRPr="001E7AD0">
        <w:t xml:space="preserve">Presently, </w:t>
      </w:r>
      <w:proofErr w:type="spellStart"/>
      <w:r w:rsidRPr="001E7AD0">
        <w:t>T_</w:t>
      </w:r>
      <w:proofErr w:type="gramStart"/>
      <w:r w:rsidRPr="001E7AD0">
        <w:t>delta,index</w:t>
      </w:r>
      <w:proofErr w:type="spellEnd"/>
      <w:proofErr w:type="gramEnd"/>
      <w:r w:rsidRPr="001E7AD0">
        <w:t xml:space="preserve"> is unspecified for values beyond 1199.</w:t>
      </w:r>
      <w:bookmarkEnd w:id="18"/>
    </w:p>
    <w:p w14:paraId="70187E1D" w14:textId="247FA849" w:rsidR="00C439B3" w:rsidRPr="001E7AD0" w:rsidRDefault="00C439B3" w:rsidP="00C439B3">
      <w:pPr>
        <w:jc w:val="both"/>
        <w:rPr>
          <w:lang w:eastAsia="ja-JP"/>
        </w:rPr>
      </w:pPr>
      <w:r w:rsidRPr="001E7AD0">
        <w:rPr>
          <w:lang w:eastAsia="ja-JP"/>
        </w:rPr>
        <w:t>The RAN4 recommendations only considered Case-1 timing configuration when the parent IAB-node’s UL reception timing is strictly advanced relative to the DL transmission timing.</w:t>
      </w:r>
      <w:r w:rsidR="007643C7" w:rsidRPr="001E7AD0">
        <w:rPr>
          <w:lang w:eastAsia="ja-JP"/>
        </w:rPr>
        <w:t xml:space="preserve"> </w:t>
      </w:r>
      <w:r w:rsidRPr="001E7AD0">
        <w:rPr>
          <w:lang w:eastAsia="ja-JP"/>
        </w:rPr>
        <w:t>It does not cover the case of a parent IAB-node’s UL reception timing being delayed relative its DL transmission timing</w:t>
      </w:r>
      <w:r w:rsidR="001D37C4" w:rsidRPr="001E7AD0">
        <w:rPr>
          <w:lang w:eastAsia="ja-JP"/>
        </w:rPr>
        <w:t>, as is the case for Case-6</w:t>
      </w:r>
      <w:r w:rsidRPr="001E7AD0">
        <w:rPr>
          <w:lang w:eastAsia="ja-JP"/>
        </w:rPr>
        <w:t xml:space="preserve">. Hence, it is </w:t>
      </w:r>
      <w:r w:rsidR="001D37C4" w:rsidRPr="001E7AD0">
        <w:rPr>
          <w:lang w:eastAsia="ja-JP"/>
        </w:rPr>
        <w:t>no surprise</w:t>
      </w:r>
      <w:r w:rsidRPr="001E7AD0">
        <w:rPr>
          <w:lang w:eastAsia="ja-JP"/>
        </w:rPr>
        <w:t xml:space="preserve"> that the limits indicated in</w:t>
      </w:r>
      <w:r w:rsidR="00D26CF0" w:rsidRPr="001E7AD0">
        <w:rPr>
          <w:lang w:eastAsia="ja-JP"/>
        </w:rPr>
        <w:t xml:space="preserve"> </w:t>
      </w:r>
      <w:r w:rsidR="00D26CF0" w:rsidRPr="001E7AD0">
        <w:rPr>
          <w:lang w:eastAsia="ja-JP"/>
        </w:rPr>
        <w:fldChar w:fldCharType="begin"/>
      </w:r>
      <w:r w:rsidR="00D26CF0" w:rsidRPr="001E7AD0">
        <w:rPr>
          <w:lang w:eastAsia="ja-JP"/>
        </w:rPr>
        <w:instrText xml:space="preserve"> REF _Ref87003373 \h </w:instrText>
      </w:r>
      <w:r w:rsidR="00D26CF0" w:rsidRPr="001E7AD0">
        <w:rPr>
          <w:lang w:eastAsia="ja-JP"/>
        </w:rPr>
      </w:r>
      <w:r w:rsidR="00D26CF0" w:rsidRPr="001E7AD0">
        <w:rPr>
          <w:lang w:eastAsia="ja-JP"/>
        </w:rPr>
        <w:fldChar w:fldCharType="separate"/>
      </w:r>
      <w:r w:rsidR="001853DE" w:rsidRPr="001E7AD0">
        <w:t xml:space="preserve">Table </w:t>
      </w:r>
      <w:r w:rsidR="001853DE">
        <w:rPr>
          <w:noProof/>
        </w:rPr>
        <w:t>1</w:t>
      </w:r>
      <w:r w:rsidR="00D26CF0" w:rsidRPr="001E7AD0">
        <w:rPr>
          <w:lang w:eastAsia="ja-JP"/>
        </w:rPr>
        <w:fldChar w:fldCharType="end"/>
      </w:r>
      <w:r w:rsidR="00D26CF0" w:rsidRPr="001E7AD0">
        <w:rPr>
          <w:lang w:eastAsia="ja-JP"/>
        </w:rPr>
        <w:t xml:space="preserve"> </w:t>
      </w:r>
      <w:r w:rsidRPr="001E7AD0">
        <w:rPr>
          <w:lang w:eastAsia="ja-JP"/>
        </w:rPr>
        <w:t xml:space="preserve">do not cover such scenarios and, therefore, a parent IAB-node cannot immediately use the existing </w:t>
      </w:r>
      <w:proofErr w:type="spellStart"/>
      <w:r w:rsidRPr="001E7AD0">
        <w:rPr>
          <w:lang w:eastAsia="ja-JP"/>
        </w:rPr>
        <w:t>T_</w:t>
      </w:r>
      <w:proofErr w:type="gramStart"/>
      <w:r w:rsidRPr="001E7AD0">
        <w:rPr>
          <w:lang w:eastAsia="ja-JP"/>
        </w:rPr>
        <w:t>delta,index</w:t>
      </w:r>
      <w:proofErr w:type="spellEnd"/>
      <w:proofErr w:type="gramEnd"/>
      <w:r w:rsidRPr="001E7AD0">
        <w:rPr>
          <w:lang w:eastAsia="ja-JP"/>
        </w:rPr>
        <w:t xml:space="preserve"> based OTA sync, if an IAB-node is operating in Case-6 timing configuration.</w:t>
      </w:r>
    </w:p>
    <w:p w14:paraId="69D34E7A" w14:textId="52F54F4E" w:rsidR="007643C7" w:rsidRPr="001E7AD0" w:rsidRDefault="007643C7" w:rsidP="00B72445">
      <w:pPr>
        <w:pStyle w:val="Observation"/>
      </w:pPr>
      <w:bookmarkStart w:id="19" w:name="_Toc87042494"/>
      <w:r w:rsidRPr="001E7AD0">
        <w:t xml:space="preserve">The RAN4 recommendations in Rel-16 on the </w:t>
      </w:r>
      <w:proofErr w:type="spellStart"/>
      <w:r w:rsidRPr="001E7AD0">
        <w:t>T_delta</w:t>
      </w:r>
      <w:proofErr w:type="spellEnd"/>
      <w:r w:rsidRPr="001E7AD0">
        <w:t xml:space="preserve"> range cover only cases when the parent IAB-node’s UL reception timing </w:t>
      </w:r>
      <w:r w:rsidRPr="001E7AD0">
        <w:rPr>
          <w:i/>
          <w:iCs/>
        </w:rPr>
        <w:t>is strictly advanced</w:t>
      </w:r>
      <w:r w:rsidRPr="001E7AD0">
        <w:t xml:space="preserve"> relative to the DL transmission timing, i.e., Case-1, not Case-6.</w:t>
      </w:r>
      <w:bookmarkEnd w:id="19"/>
    </w:p>
    <w:p w14:paraId="15E6DEAA" w14:textId="7EC0DBFA" w:rsidR="001D37C4" w:rsidRPr="001E7AD0" w:rsidRDefault="001D37C4" w:rsidP="007643C7">
      <w:pPr>
        <w:pStyle w:val="Observation"/>
      </w:pPr>
      <w:bookmarkStart w:id="20" w:name="_Toc87042495"/>
      <w:r w:rsidRPr="001E7AD0">
        <w:t>Rel-16 OTA synchronization specification</w:t>
      </w:r>
      <w:r w:rsidR="007643C7" w:rsidRPr="001E7AD0">
        <w:t xml:space="preserve"> does not support maintaining Case-6 timing mode.</w:t>
      </w:r>
      <w:bookmarkEnd w:id="20"/>
    </w:p>
    <w:p w14:paraId="1684161F" w14:textId="39B8E833" w:rsidR="00C439B3" w:rsidRPr="001E7AD0" w:rsidRDefault="00C439B3" w:rsidP="00C439B3">
      <w:pPr>
        <w:jc w:val="both"/>
      </w:pPr>
      <w:r w:rsidRPr="001E7AD0">
        <w:t xml:space="preserve">In </w:t>
      </w:r>
      <w:r w:rsidRPr="001E7AD0">
        <w:fldChar w:fldCharType="begin"/>
      </w:r>
      <w:r w:rsidRPr="001E7AD0">
        <w:instrText xml:space="preserve"> REF _Ref83991889 \w \h  \* MERGEFORMAT </w:instrText>
      </w:r>
      <w:r w:rsidRPr="001E7AD0">
        <w:fldChar w:fldCharType="separate"/>
      </w:r>
      <w:r w:rsidR="001853DE">
        <w:t>[12]</w:t>
      </w:r>
      <w:r w:rsidRPr="001E7AD0">
        <w:fldChar w:fldCharType="end"/>
      </w:r>
      <w:r w:rsidRPr="001E7AD0">
        <w:t xml:space="preserve">, it is shown that by simply extending the range of </w:t>
      </w:r>
      <w:proofErr w:type="spellStart"/>
      <w:r w:rsidRPr="001E7AD0">
        <w:t>T_</w:t>
      </w:r>
      <w:proofErr w:type="gramStart"/>
      <w:r w:rsidRPr="001E7AD0">
        <w:t>delta,index</w:t>
      </w:r>
      <w:proofErr w:type="spellEnd"/>
      <w:proofErr w:type="gramEnd"/>
    </w:p>
    <w:p w14:paraId="64515F21" w14:textId="77C187DB" w:rsidR="00C439B3" w:rsidRPr="001E7AD0" w:rsidRDefault="00C439B3" w:rsidP="00C439B3">
      <w:pPr>
        <w:pStyle w:val="ListParagraph"/>
        <w:numPr>
          <w:ilvl w:val="0"/>
          <w:numId w:val="35"/>
        </w:numPr>
        <w:jc w:val="both"/>
        <w:rPr>
          <w:rFonts w:ascii="Arial" w:hAnsi="Arial" w:cs="Arial"/>
          <w:sz w:val="20"/>
          <w:szCs w:val="20"/>
          <w:lang w:val="en-US"/>
        </w:rPr>
      </w:pPr>
      <w:r w:rsidRPr="001E7AD0">
        <w:rPr>
          <w:rFonts w:ascii="Arial" w:hAnsi="Arial" w:cs="Arial"/>
          <w:sz w:val="20"/>
          <w:szCs w:val="20"/>
          <w:lang w:val="en-US"/>
        </w:rPr>
        <w:t xml:space="preserve">An IAB-node can still maintain its DL Tx timing if provided </w:t>
      </w:r>
      <w:proofErr w:type="spellStart"/>
      <w:r w:rsidRPr="001E7AD0">
        <w:rPr>
          <w:rFonts w:ascii="Arial" w:hAnsi="Arial" w:cs="Arial"/>
          <w:sz w:val="20"/>
          <w:szCs w:val="20"/>
          <w:lang w:val="en-US"/>
        </w:rPr>
        <w:t>T_</w:t>
      </w:r>
      <w:proofErr w:type="gramStart"/>
      <w:r w:rsidRPr="001E7AD0">
        <w:rPr>
          <w:rFonts w:ascii="Arial" w:hAnsi="Arial" w:cs="Arial"/>
          <w:sz w:val="20"/>
          <w:szCs w:val="20"/>
          <w:lang w:val="en-US"/>
        </w:rPr>
        <w:t>delta,index</w:t>
      </w:r>
      <w:proofErr w:type="spellEnd"/>
      <w:proofErr w:type="gramEnd"/>
      <w:r w:rsidRPr="001E7AD0">
        <w:rPr>
          <w:rFonts w:ascii="Arial" w:hAnsi="Arial" w:cs="Arial"/>
          <w:sz w:val="20"/>
          <w:szCs w:val="20"/>
          <w:lang w:val="en-US"/>
        </w:rPr>
        <w:t>, even if the IAB-node is operating in Case-6.</w:t>
      </w:r>
    </w:p>
    <w:p w14:paraId="20BB53DA" w14:textId="6738B287" w:rsidR="00C439B3" w:rsidRPr="001E7AD0" w:rsidRDefault="00C439B3" w:rsidP="00C439B3">
      <w:pPr>
        <w:pStyle w:val="ListParagraph"/>
        <w:numPr>
          <w:ilvl w:val="0"/>
          <w:numId w:val="35"/>
        </w:numPr>
        <w:jc w:val="both"/>
        <w:rPr>
          <w:lang w:val="en-US" w:eastAsia="ja-JP"/>
        </w:rPr>
      </w:pPr>
      <w:r w:rsidRPr="001E7AD0">
        <w:rPr>
          <w:rFonts w:ascii="Arial" w:hAnsi="Arial" w:cs="Arial"/>
          <w:sz w:val="20"/>
          <w:szCs w:val="20"/>
          <w:lang w:val="en-US"/>
        </w:rPr>
        <w:t xml:space="preserve">The (minimum) index values for </w:t>
      </w:r>
      <w:proofErr w:type="spellStart"/>
      <w:r w:rsidRPr="001E7AD0">
        <w:rPr>
          <w:rFonts w:ascii="Arial" w:hAnsi="Arial" w:cs="Arial"/>
          <w:sz w:val="20"/>
          <w:szCs w:val="20"/>
          <w:lang w:val="en-US"/>
        </w:rPr>
        <w:t>T_</w:t>
      </w:r>
      <w:proofErr w:type="gramStart"/>
      <w:r w:rsidRPr="001E7AD0">
        <w:rPr>
          <w:rFonts w:ascii="Arial" w:hAnsi="Arial" w:cs="Arial"/>
          <w:sz w:val="20"/>
          <w:szCs w:val="20"/>
          <w:lang w:val="en-US"/>
        </w:rPr>
        <w:t>delta,index</w:t>
      </w:r>
      <w:proofErr w:type="spellEnd"/>
      <w:proofErr w:type="gramEnd"/>
      <w:r w:rsidRPr="001E7AD0">
        <w:rPr>
          <w:rFonts w:ascii="Arial" w:hAnsi="Arial" w:cs="Arial"/>
          <w:sz w:val="20"/>
          <w:szCs w:val="20"/>
          <w:lang w:val="en-US"/>
        </w:rPr>
        <w:t xml:space="preserve"> are supported by current specification of the </w:t>
      </w:r>
      <w:proofErr w:type="spellStart"/>
      <w:r w:rsidRPr="001E7AD0">
        <w:rPr>
          <w:rFonts w:ascii="Arial" w:hAnsi="Arial" w:cs="Arial"/>
          <w:sz w:val="20"/>
          <w:szCs w:val="20"/>
          <w:lang w:val="en-US"/>
        </w:rPr>
        <w:t>T_delta,index</w:t>
      </w:r>
      <w:proofErr w:type="spellEnd"/>
      <w:r w:rsidRPr="001E7AD0">
        <w:rPr>
          <w:rFonts w:ascii="Arial" w:hAnsi="Arial" w:cs="Arial"/>
          <w:sz w:val="20"/>
          <w:szCs w:val="20"/>
          <w:lang w:val="en-US"/>
        </w:rPr>
        <w:t xml:space="preserve"> MAC CE signaling format, i.e., the current signaling format for </w:t>
      </w:r>
      <w:proofErr w:type="spellStart"/>
      <w:r w:rsidRPr="001E7AD0">
        <w:rPr>
          <w:rFonts w:ascii="Arial" w:hAnsi="Arial" w:cs="Arial"/>
          <w:sz w:val="20"/>
          <w:szCs w:val="20"/>
          <w:lang w:val="en-US"/>
        </w:rPr>
        <w:t>T_delta,index</w:t>
      </w:r>
      <w:proofErr w:type="spellEnd"/>
      <w:r w:rsidRPr="001E7AD0">
        <w:rPr>
          <w:rFonts w:ascii="Arial" w:hAnsi="Arial" w:cs="Arial"/>
          <w:sz w:val="20"/>
          <w:szCs w:val="20"/>
          <w:lang w:val="en-US"/>
        </w:rPr>
        <w:t xml:space="preserve"> (Timing Delta MAC CE in TS 38.321 </w:t>
      </w:r>
      <w:r w:rsidRPr="001E7AD0">
        <w:rPr>
          <w:rFonts w:ascii="Arial" w:hAnsi="Arial" w:cs="Arial"/>
          <w:sz w:val="20"/>
          <w:szCs w:val="20"/>
          <w:lang w:val="en-US"/>
        </w:rPr>
        <w:fldChar w:fldCharType="begin"/>
      </w:r>
      <w:r w:rsidRPr="001E7AD0">
        <w:rPr>
          <w:rFonts w:ascii="Arial" w:hAnsi="Arial" w:cs="Arial"/>
          <w:sz w:val="20"/>
          <w:szCs w:val="20"/>
          <w:lang w:val="en-US"/>
        </w:rPr>
        <w:instrText xml:space="preserve"> REF _Ref83991798 \w \h  \* MERGEFORMAT </w:instrText>
      </w:r>
      <w:r w:rsidRPr="001E7AD0">
        <w:rPr>
          <w:rFonts w:ascii="Arial" w:hAnsi="Arial" w:cs="Arial"/>
          <w:sz w:val="20"/>
          <w:szCs w:val="20"/>
          <w:lang w:val="en-US"/>
        </w:rPr>
      </w:r>
      <w:r w:rsidRPr="001E7AD0">
        <w:rPr>
          <w:rFonts w:ascii="Arial" w:hAnsi="Arial" w:cs="Arial"/>
          <w:sz w:val="20"/>
          <w:szCs w:val="20"/>
          <w:lang w:val="en-US"/>
        </w:rPr>
        <w:fldChar w:fldCharType="separate"/>
      </w:r>
      <w:r w:rsidR="001853DE">
        <w:rPr>
          <w:rFonts w:ascii="Arial" w:hAnsi="Arial" w:cs="Arial"/>
          <w:sz w:val="20"/>
          <w:szCs w:val="20"/>
          <w:lang w:val="en-US"/>
        </w:rPr>
        <w:t>[11]</w:t>
      </w:r>
      <w:r w:rsidRPr="001E7AD0">
        <w:rPr>
          <w:rFonts w:ascii="Arial" w:hAnsi="Arial" w:cs="Arial"/>
          <w:sz w:val="20"/>
          <w:szCs w:val="20"/>
          <w:lang w:val="en-US"/>
        </w:rPr>
        <w:fldChar w:fldCharType="end"/>
      </w:r>
      <w:r w:rsidRPr="001E7AD0">
        <w:rPr>
          <w:rFonts w:ascii="Arial" w:hAnsi="Arial" w:cs="Arial"/>
          <w:sz w:val="20"/>
          <w:szCs w:val="20"/>
          <w:lang w:val="en-US"/>
        </w:rPr>
        <w:t>) can be re-used.</w:t>
      </w:r>
    </w:p>
    <w:p w14:paraId="4D8C8406" w14:textId="77777777" w:rsidR="00C439B3" w:rsidRPr="001E7AD0" w:rsidRDefault="00C439B3" w:rsidP="00C439B3">
      <w:pPr>
        <w:pStyle w:val="ListParagraph"/>
        <w:numPr>
          <w:ilvl w:val="0"/>
          <w:numId w:val="35"/>
        </w:numPr>
        <w:spacing w:after="240"/>
        <w:jc w:val="both"/>
        <w:rPr>
          <w:lang w:val="en-US" w:eastAsia="ja-JP"/>
        </w:rPr>
      </w:pPr>
      <w:r w:rsidRPr="001E7AD0">
        <w:rPr>
          <w:rFonts w:ascii="Arial" w:hAnsi="Arial" w:cs="Arial"/>
          <w:sz w:val="20"/>
          <w:szCs w:val="20"/>
          <w:lang w:val="en-US"/>
        </w:rPr>
        <w:t xml:space="preserve">Depending on the expected support of backhaul distances, the indexing of </w:t>
      </w:r>
      <w:proofErr w:type="spellStart"/>
      <w:r w:rsidRPr="001E7AD0">
        <w:rPr>
          <w:rFonts w:ascii="Arial" w:hAnsi="Arial" w:cs="Arial"/>
          <w:sz w:val="20"/>
          <w:szCs w:val="20"/>
          <w:lang w:val="en-US"/>
        </w:rPr>
        <w:t>T_</w:t>
      </w:r>
      <w:proofErr w:type="gramStart"/>
      <w:r w:rsidRPr="001E7AD0">
        <w:rPr>
          <w:rFonts w:ascii="Arial" w:hAnsi="Arial" w:cs="Arial"/>
          <w:sz w:val="20"/>
          <w:szCs w:val="20"/>
          <w:lang w:val="en-US"/>
        </w:rPr>
        <w:t>delta,index</w:t>
      </w:r>
      <w:proofErr w:type="spellEnd"/>
      <w:proofErr w:type="gramEnd"/>
      <w:r w:rsidRPr="001E7AD0">
        <w:rPr>
          <w:rFonts w:ascii="Arial" w:hAnsi="Arial" w:cs="Arial"/>
          <w:sz w:val="20"/>
          <w:szCs w:val="20"/>
          <w:lang w:val="en-US"/>
        </w:rPr>
        <w:t xml:space="preserve"> may require one additional bit (out of five reserved ones).</w:t>
      </w:r>
    </w:p>
    <w:p w14:paraId="22B1AC01" w14:textId="18E6FE6D" w:rsidR="00C439B3" w:rsidRPr="001E7AD0" w:rsidRDefault="00C439B3" w:rsidP="00C439B3">
      <w:pPr>
        <w:jc w:val="both"/>
      </w:pPr>
      <w:r w:rsidRPr="001E7AD0">
        <w:lastRenderedPageBreak/>
        <w:t xml:space="preserve">If OTA </w:t>
      </w:r>
      <w:r w:rsidR="00B72445" w:rsidRPr="001E7AD0">
        <w:t>timing synchronization</w:t>
      </w:r>
      <w:r w:rsidR="00B72445" w:rsidRPr="001E7AD0" w:rsidDel="00B72445">
        <w:t xml:space="preserve"> </w:t>
      </w:r>
      <w:r w:rsidRPr="001E7AD0">
        <w:t xml:space="preserve">for Case-6 is based on the same principles as for Case-1 timing configurations, i.e., based on the parent providing </w:t>
      </w:r>
      <w:proofErr w:type="spellStart"/>
      <w:r w:rsidRPr="001E7AD0">
        <w:t>T_</w:t>
      </w:r>
      <w:proofErr w:type="gramStart"/>
      <w:r w:rsidRPr="001E7AD0">
        <w:t>delta,index</w:t>
      </w:r>
      <w:proofErr w:type="spellEnd"/>
      <w:proofErr w:type="gramEnd"/>
      <w:r w:rsidRPr="001E7AD0">
        <w:t xml:space="preserve"> with </w:t>
      </w:r>
      <w:proofErr w:type="spellStart"/>
      <w:r w:rsidRPr="001E7AD0">
        <w:t>T_delta,index</w:t>
      </w:r>
      <w:proofErr w:type="spellEnd"/>
      <w:r w:rsidRPr="001E7AD0">
        <w:t xml:space="preserve"> relating to the parent IAB-node’s </w:t>
      </w:r>
      <w:r w:rsidR="005C592B" w:rsidRPr="001E7AD0">
        <w:t>difference between</w:t>
      </w:r>
      <w:r w:rsidRPr="001E7AD0">
        <w:t xml:space="preserve"> DL Tx and UL Rx timing, the </w:t>
      </w:r>
      <w:proofErr w:type="spellStart"/>
      <w:r w:rsidRPr="001E7AD0">
        <w:t>T_delta,index</w:t>
      </w:r>
      <w:proofErr w:type="spellEnd"/>
      <w:r w:rsidRPr="001E7AD0">
        <w:t xml:space="preserve"> depends on the parent BH link propagation delay, T_PN. For Case-6</w:t>
      </w:r>
      <w:r w:rsidR="00B72445" w:rsidRPr="001E7AD0">
        <w:t>,</w:t>
      </w:r>
      <w:r w:rsidRPr="001E7AD0">
        <w:t xml:space="preserve"> the relation is given by </w:t>
      </w:r>
      <w:r w:rsidRPr="001E7AD0">
        <w:fldChar w:fldCharType="begin"/>
      </w:r>
      <w:r w:rsidRPr="001E7AD0">
        <w:instrText xml:space="preserve"> REF _Ref83991889 \w \h  \* MERGEFORMAT </w:instrText>
      </w:r>
      <w:r w:rsidRPr="001E7AD0">
        <w:fldChar w:fldCharType="separate"/>
      </w:r>
      <w:r w:rsidR="001853DE">
        <w:t>[12]</w:t>
      </w:r>
      <w:r w:rsidRPr="001E7AD0">
        <w:fldChar w:fldCharType="end"/>
      </w:r>
    </w:p>
    <w:p w14:paraId="3F557422" w14:textId="77777777" w:rsidR="00EF68D8" w:rsidRPr="001E7AD0" w:rsidRDefault="0086618B" w:rsidP="00EF68D8">
      <w:pPr>
        <w:jc w:val="both"/>
      </w:pPr>
      <m:oMathPara>
        <m:oMath>
          <m:sSub>
            <m:sSubPr>
              <m:ctrlPr>
                <w:rPr>
                  <w:rFonts w:ascii="Cambria Math" w:hAnsi="Cambria Math"/>
                </w:rPr>
              </m:ctrlPr>
            </m:sSubPr>
            <m:e>
              <m:r>
                <w:rPr>
                  <w:rFonts w:ascii="Cambria Math" w:hAnsi="Cambria Math"/>
                </w:rPr>
                <m:t>T</m:t>
              </m:r>
            </m:e>
            <m:sub>
              <m:r>
                <m:rPr>
                  <m:sty m:val="p"/>
                </m:rPr>
                <w:rPr>
                  <w:rFonts w:ascii="Cambria Math" w:hAnsi="Cambria Math"/>
                </w:rPr>
                <m:t>delta,index</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G</m:t>
              </m:r>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0.5⋅</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PN</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delta</m:t>
                  </m:r>
                </m:sub>
              </m:sSub>
            </m:e>
          </m:d>
        </m:oMath>
      </m:oMathPara>
    </w:p>
    <w:p w14:paraId="6B079680" w14:textId="36C4C38C" w:rsidR="00EF68D8" w:rsidRPr="001E7AD0" w:rsidRDefault="00EF68D8" w:rsidP="00EF68D8">
      <w:pPr>
        <w:jc w:val="both"/>
      </w:pPr>
      <w:r w:rsidRPr="001E7AD0">
        <w:t xml:space="preserve">The minimum value for </w:t>
      </w:r>
      <w:proofErr w:type="spellStart"/>
      <w:r w:rsidRPr="001E7AD0">
        <w:t>T_</w:t>
      </w:r>
      <w:proofErr w:type="gramStart"/>
      <w:r w:rsidRPr="001E7AD0">
        <w:t>delta,index</w:t>
      </w:r>
      <w:proofErr w:type="spellEnd"/>
      <w:proofErr w:type="gramEnd"/>
      <w:r w:rsidRPr="001E7AD0">
        <w:t xml:space="preserve">, </w:t>
      </w:r>
      <w:r w:rsidR="00C768D4" w:rsidRPr="001E7AD0">
        <w:t>as shown</w:t>
      </w:r>
      <w:r w:rsidRPr="001E7AD0">
        <w:t xml:space="preserve"> in</w:t>
      </w:r>
      <w:r w:rsidR="00D26CF0" w:rsidRPr="001E7AD0">
        <w:t xml:space="preserve"> </w:t>
      </w:r>
      <w:r w:rsidR="00D26CF0" w:rsidRPr="001E7AD0">
        <w:fldChar w:fldCharType="begin"/>
      </w:r>
      <w:r w:rsidR="00D26CF0" w:rsidRPr="001E7AD0">
        <w:instrText xml:space="preserve"> REF _Ref87003444 \h </w:instrText>
      </w:r>
      <w:r w:rsidR="00D26CF0" w:rsidRPr="001E7AD0">
        <w:fldChar w:fldCharType="separate"/>
      </w:r>
      <w:r w:rsidR="001853DE" w:rsidRPr="001E7AD0">
        <w:t xml:space="preserve">Table </w:t>
      </w:r>
      <w:r w:rsidR="001853DE">
        <w:rPr>
          <w:noProof/>
        </w:rPr>
        <w:t>2</w:t>
      </w:r>
      <w:r w:rsidR="00D26CF0" w:rsidRPr="001E7AD0">
        <w:fldChar w:fldCharType="end"/>
      </w:r>
      <w:r w:rsidRPr="001E7AD0">
        <w:t>, are derived assuming a zero propagation delay T_PN = 0.</w:t>
      </w:r>
    </w:p>
    <w:p w14:paraId="0FF1E67F" w14:textId="040F8031" w:rsidR="00C439B3" w:rsidRPr="001E7AD0" w:rsidRDefault="00EF68D8" w:rsidP="00BA40BA">
      <w:pPr>
        <w:pStyle w:val="Caption"/>
        <w:jc w:val="center"/>
      </w:pPr>
      <w:bookmarkStart w:id="21" w:name="_Ref87003444"/>
      <w:r w:rsidRPr="001E7AD0">
        <w:t xml:space="preserve">Table </w:t>
      </w:r>
      <w:r w:rsidRPr="001E7AD0">
        <w:fldChar w:fldCharType="begin"/>
      </w:r>
      <w:r w:rsidRPr="001E7AD0">
        <w:instrText xml:space="preserve"> SEQ Table \* ARABIC </w:instrText>
      </w:r>
      <w:r w:rsidRPr="001E7AD0">
        <w:fldChar w:fldCharType="separate"/>
      </w:r>
      <w:r w:rsidR="001853DE">
        <w:rPr>
          <w:noProof/>
        </w:rPr>
        <w:t>2</w:t>
      </w:r>
      <w:r w:rsidRPr="001E7AD0">
        <w:fldChar w:fldCharType="end"/>
      </w:r>
      <w:bookmarkEnd w:id="21"/>
      <w:r w:rsidRPr="001E7AD0">
        <w:t xml:space="preserve">: Minimum </w:t>
      </w:r>
      <w:proofErr w:type="spellStart"/>
      <w:r w:rsidRPr="001E7AD0">
        <w:t>T_</w:t>
      </w:r>
      <w:proofErr w:type="gramStart"/>
      <w:r w:rsidRPr="001E7AD0">
        <w:t>delta,index</w:t>
      </w:r>
      <w:proofErr w:type="spellEnd"/>
      <w:proofErr w:type="gramEnd"/>
      <w:r w:rsidRPr="001E7AD0">
        <w:t xml:space="preserve"> (MAC CE) to support Case-6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72"/>
        <w:gridCol w:w="1795"/>
      </w:tblGrid>
      <w:tr w:rsidR="00EF68D8" w:rsidRPr="001E7AD0" w14:paraId="4860B88D" w14:textId="77777777" w:rsidTr="0086618B">
        <w:trPr>
          <w:jc w:val="center"/>
        </w:trPr>
        <w:tc>
          <w:tcPr>
            <w:tcW w:w="0" w:type="auto"/>
            <w:tcBorders>
              <w:top w:val="nil"/>
              <w:left w:val="nil"/>
            </w:tcBorders>
            <w:shd w:val="clear" w:color="auto" w:fill="auto"/>
          </w:tcPr>
          <w:p w14:paraId="43F466B8" w14:textId="77777777" w:rsidR="00EF68D8" w:rsidRPr="001E7AD0" w:rsidRDefault="00EF68D8" w:rsidP="0086618B">
            <w:pPr>
              <w:jc w:val="both"/>
              <w:rPr>
                <w:rFonts w:cs="Arial"/>
              </w:rPr>
            </w:pPr>
          </w:p>
        </w:tc>
        <w:tc>
          <w:tcPr>
            <w:tcW w:w="0" w:type="auto"/>
            <w:shd w:val="clear" w:color="auto" w:fill="auto"/>
          </w:tcPr>
          <w:p w14:paraId="12156ED9" w14:textId="77777777" w:rsidR="00EF68D8" w:rsidRPr="001E7AD0" w:rsidRDefault="00EF68D8" w:rsidP="0086618B">
            <w:pPr>
              <w:jc w:val="both"/>
              <w:rPr>
                <w:rFonts w:cs="Arial"/>
              </w:rPr>
            </w:pPr>
            <w:proofErr w:type="spellStart"/>
            <w:r w:rsidRPr="001E7AD0">
              <w:rPr>
                <w:rFonts w:cs="Arial"/>
              </w:rPr>
              <w:t>N_</w:t>
            </w:r>
            <w:proofErr w:type="gramStart"/>
            <w:r w:rsidRPr="001E7AD0">
              <w:rPr>
                <w:rFonts w:cs="Arial"/>
              </w:rPr>
              <w:t>TA,offset</w:t>
            </w:r>
            <w:proofErr w:type="spellEnd"/>
            <w:proofErr w:type="gramEnd"/>
          </w:p>
        </w:tc>
        <w:tc>
          <w:tcPr>
            <w:tcW w:w="0" w:type="auto"/>
            <w:shd w:val="clear" w:color="auto" w:fill="auto"/>
          </w:tcPr>
          <w:p w14:paraId="5B4A31AE" w14:textId="77777777" w:rsidR="00EF68D8" w:rsidRPr="001E7AD0" w:rsidRDefault="00EF68D8" w:rsidP="0086618B">
            <w:pPr>
              <w:jc w:val="both"/>
              <w:rPr>
                <w:rFonts w:cs="Arial"/>
              </w:rPr>
            </w:pPr>
            <w:r w:rsidRPr="001E7AD0">
              <w:rPr>
                <w:rFonts w:cs="Arial"/>
              </w:rPr>
              <w:t xml:space="preserve">Min </w:t>
            </w:r>
            <w:proofErr w:type="spellStart"/>
            <w:r w:rsidRPr="001E7AD0">
              <w:rPr>
                <w:rFonts w:cs="Arial"/>
              </w:rPr>
              <w:t>T_</w:t>
            </w:r>
            <w:proofErr w:type="gramStart"/>
            <w:r w:rsidRPr="001E7AD0">
              <w:rPr>
                <w:rFonts w:cs="Arial"/>
              </w:rPr>
              <w:t>delta,index</w:t>
            </w:r>
            <w:proofErr w:type="spellEnd"/>
            <w:proofErr w:type="gramEnd"/>
          </w:p>
        </w:tc>
      </w:tr>
      <w:tr w:rsidR="00EF68D8" w:rsidRPr="001E7AD0" w14:paraId="1DB69AEF" w14:textId="77777777" w:rsidTr="0086618B">
        <w:trPr>
          <w:jc w:val="center"/>
        </w:trPr>
        <w:tc>
          <w:tcPr>
            <w:tcW w:w="0" w:type="auto"/>
            <w:vMerge w:val="restart"/>
            <w:shd w:val="clear" w:color="auto" w:fill="auto"/>
          </w:tcPr>
          <w:p w14:paraId="4194D8FB" w14:textId="77777777" w:rsidR="00EF68D8" w:rsidRPr="001E7AD0" w:rsidRDefault="00EF68D8" w:rsidP="0086618B">
            <w:pPr>
              <w:jc w:val="both"/>
              <w:rPr>
                <w:rFonts w:cs="Arial"/>
              </w:rPr>
            </w:pPr>
            <w:r w:rsidRPr="001E7AD0">
              <w:rPr>
                <w:rFonts w:cs="Arial"/>
              </w:rPr>
              <w:t>FR1</w:t>
            </w:r>
          </w:p>
        </w:tc>
        <w:tc>
          <w:tcPr>
            <w:tcW w:w="0" w:type="auto"/>
            <w:shd w:val="clear" w:color="auto" w:fill="auto"/>
            <w:vAlign w:val="bottom"/>
          </w:tcPr>
          <w:p w14:paraId="0654F445" w14:textId="77777777" w:rsidR="00EF68D8" w:rsidRPr="001E7AD0" w:rsidDel="00B37B10" w:rsidRDefault="00EF68D8" w:rsidP="0086618B">
            <w:pPr>
              <w:jc w:val="both"/>
              <w:rPr>
                <w:rFonts w:cs="Arial"/>
                <w:color w:val="000000"/>
              </w:rPr>
            </w:pPr>
            <w:r w:rsidRPr="001E7AD0">
              <w:rPr>
                <w:rFonts w:cs="Arial"/>
                <w:color w:val="000000"/>
              </w:rPr>
              <w:t>25600</w:t>
            </w:r>
          </w:p>
        </w:tc>
        <w:tc>
          <w:tcPr>
            <w:tcW w:w="0" w:type="auto"/>
            <w:shd w:val="clear" w:color="auto" w:fill="auto"/>
          </w:tcPr>
          <w:p w14:paraId="042BC1CD" w14:textId="77777777" w:rsidR="00EF68D8" w:rsidRPr="001E7AD0" w:rsidRDefault="00EF68D8" w:rsidP="0086618B">
            <w:pPr>
              <w:jc w:val="both"/>
              <w:rPr>
                <w:rFonts w:cs="Arial"/>
              </w:rPr>
            </w:pPr>
            <w:r w:rsidRPr="001E7AD0">
              <w:rPr>
                <w:rFonts w:cs="Arial"/>
                <w:color w:val="000000"/>
              </w:rPr>
              <w:t>1302</w:t>
            </w:r>
          </w:p>
        </w:tc>
      </w:tr>
      <w:tr w:rsidR="00EF68D8" w:rsidRPr="001E7AD0" w14:paraId="6A1DD61B" w14:textId="77777777" w:rsidTr="0086618B">
        <w:trPr>
          <w:jc w:val="center"/>
        </w:trPr>
        <w:tc>
          <w:tcPr>
            <w:tcW w:w="0" w:type="auto"/>
            <w:vMerge/>
            <w:shd w:val="clear" w:color="auto" w:fill="auto"/>
          </w:tcPr>
          <w:p w14:paraId="016284EA" w14:textId="77777777" w:rsidR="00EF68D8" w:rsidRPr="001E7AD0" w:rsidRDefault="00EF68D8" w:rsidP="0086618B">
            <w:pPr>
              <w:jc w:val="both"/>
              <w:rPr>
                <w:rFonts w:cs="Arial"/>
              </w:rPr>
            </w:pPr>
          </w:p>
        </w:tc>
        <w:tc>
          <w:tcPr>
            <w:tcW w:w="0" w:type="auto"/>
            <w:shd w:val="clear" w:color="auto" w:fill="auto"/>
            <w:vAlign w:val="bottom"/>
          </w:tcPr>
          <w:p w14:paraId="3B91C06D" w14:textId="77777777" w:rsidR="00EF68D8" w:rsidRPr="001E7AD0" w:rsidDel="00F94ED9" w:rsidRDefault="00EF68D8" w:rsidP="0086618B">
            <w:pPr>
              <w:jc w:val="both"/>
              <w:rPr>
                <w:rFonts w:cs="Arial"/>
              </w:rPr>
            </w:pPr>
            <w:r w:rsidRPr="001E7AD0">
              <w:rPr>
                <w:rFonts w:cs="Arial"/>
                <w:color w:val="000000"/>
              </w:rPr>
              <w:t>39936</w:t>
            </w:r>
          </w:p>
        </w:tc>
        <w:tc>
          <w:tcPr>
            <w:tcW w:w="0" w:type="auto"/>
            <w:shd w:val="clear" w:color="auto" w:fill="auto"/>
          </w:tcPr>
          <w:p w14:paraId="618FF102" w14:textId="77777777" w:rsidR="00EF68D8" w:rsidRPr="001E7AD0" w:rsidRDefault="00EF68D8" w:rsidP="0086618B">
            <w:pPr>
              <w:jc w:val="both"/>
              <w:rPr>
                <w:rFonts w:cs="Arial"/>
              </w:rPr>
            </w:pPr>
            <w:r w:rsidRPr="001E7AD0">
              <w:rPr>
                <w:rFonts w:cs="Arial"/>
              </w:rPr>
              <w:t>1414</w:t>
            </w:r>
          </w:p>
        </w:tc>
      </w:tr>
      <w:tr w:rsidR="00EF68D8" w:rsidRPr="001E7AD0" w14:paraId="78171441" w14:textId="77777777" w:rsidTr="0086618B">
        <w:trPr>
          <w:jc w:val="center"/>
        </w:trPr>
        <w:tc>
          <w:tcPr>
            <w:tcW w:w="0" w:type="auto"/>
            <w:shd w:val="clear" w:color="auto" w:fill="auto"/>
          </w:tcPr>
          <w:p w14:paraId="15ABB7BB" w14:textId="77777777" w:rsidR="00EF68D8" w:rsidRPr="001E7AD0" w:rsidRDefault="00EF68D8" w:rsidP="0086618B">
            <w:pPr>
              <w:jc w:val="both"/>
              <w:rPr>
                <w:rFonts w:cs="Arial"/>
              </w:rPr>
            </w:pPr>
            <w:r w:rsidRPr="001E7AD0">
              <w:rPr>
                <w:rFonts w:cs="Arial"/>
              </w:rPr>
              <w:t>FR2</w:t>
            </w:r>
          </w:p>
        </w:tc>
        <w:tc>
          <w:tcPr>
            <w:tcW w:w="0" w:type="auto"/>
            <w:shd w:val="clear" w:color="auto" w:fill="auto"/>
            <w:vAlign w:val="bottom"/>
          </w:tcPr>
          <w:p w14:paraId="77B44650" w14:textId="77777777" w:rsidR="00EF68D8" w:rsidRPr="001E7AD0" w:rsidDel="00F94ED9" w:rsidRDefault="00EF68D8" w:rsidP="0086618B">
            <w:pPr>
              <w:jc w:val="both"/>
              <w:rPr>
                <w:rFonts w:cs="Arial"/>
              </w:rPr>
            </w:pPr>
            <w:r w:rsidRPr="001E7AD0">
              <w:rPr>
                <w:rFonts w:cs="Arial"/>
              </w:rPr>
              <w:t>13792</w:t>
            </w:r>
          </w:p>
        </w:tc>
        <w:tc>
          <w:tcPr>
            <w:tcW w:w="0" w:type="auto"/>
            <w:shd w:val="clear" w:color="auto" w:fill="auto"/>
          </w:tcPr>
          <w:p w14:paraId="59FA72E8" w14:textId="77777777" w:rsidR="00EF68D8" w:rsidRPr="001E7AD0" w:rsidRDefault="00EF68D8" w:rsidP="0086618B">
            <w:pPr>
              <w:jc w:val="both"/>
              <w:rPr>
                <w:rFonts w:cs="Arial"/>
              </w:rPr>
            </w:pPr>
            <w:r w:rsidRPr="001E7AD0">
              <w:rPr>
                <w:rFonts w:cs="Arial"/>
                <w:color w:val="000000"/>
              </w:rPr>
              <w:t>767,5</w:t>
            </w:r>
          </w:p>
        </w:tc>
      </w:tr>
    </w:tbl>
    <w:p w14:paraId="403D6C10" w14:textId="44D30AE0" w:rsidR="00EF68D8" w:rsidRPr="001E7AD0" w:rsidRDefault="00EF68D8" w:rsidP="009879A3">
      <w:pPr>
        <w:spacing w:before="240"/>
        <w:jc w:val="both"/>
      </w:pPr>
      <w:r w:rsidRPr="001E7AD0">
        <w:rPr>
          <w:rFonts w:cs="Arial"/>
          <w:lang w:eastAsia="ja-JP"/>
        </w:rPr>
        <w:t xml:space="preserve">Although in current TS 38.321 </w:t>
      </w:r>
      <w:r w:rsidRPr="001E7AD0">
        <w:rPr>
          <w:rFonts w:cs="Arial"/>
          <w:lang w:eastAsia="ja-JP"/>
        </w:rPr>
        <w:fldChar w:fldCharType="begin"/>
      </w:r>
      <w:r w:rsidRPr="001E7AD0">
        <w:rPr>
          <w:rFonts w:cs="Arial"/>
          <w:lang w:eastAsia="ja-JP"/>
        </w:rPr>
        <w:instrText xml:space="preserve"> REF _Ref83991798 \w \h  \* MERGEFORMAT </w:instrText>
      </w:r>
      <w:r w:rsidRPr="001E7AD0">
        <w:rPr>
          <w:rFonts w:cs="Arial"/>
          <w:lang w:eastAsia="ja-JP"/>
        </w:rPr>
      </w:r>
      <w:r w:rsidRPr="001E7AD0">
        <w:rPr>
          <w:rFonts w:cs="Arial"/>
          <w:lang w:eastAsia="ja-JP"/>
        </w:rPr>
        <w:fldChar w:fldCharType="separate"/>
      </w:r>
      <w:r w:rsidR="001853DE">
        <w:rPr>
          <w:rFonts w:cs="Arial"/>
          <w:lang w:eastAsia="ja-JP"/>
        </w:rPr>
        <w:t>[11]</w:t>
      </w:r>
      <w:r w:rsidRPr="001E7AD0">
        <w:rPr>
          <w:rFonts w:cs="Arial"/>
          <w:lang w:eastAsia="ja-JP"/>
        </w:rPr>
        <w:fldChar w:fldCharType="end"/>
      </w:r>
      <w:r w:rsidRPr="001E7AD0">
        <w:rPr>
          <w:rFonts w:cs="Arial"/>
          <w:lang w:eastAsia="ja-JP"/>
        </w:rPr>
        <w:t xml:space="preserve"> the maximum number for </w:t>
      </w:r>
      <w:proofErr w:type="spellStart"/>
      <w:r w:rsidRPr="001E7AD0">
        <w:rPr>
          <w:rFonts w:cs="Arial"/>
          <w:lang w:eastAsia="ja-JP"/>
        </w:rPr>
        <w:t>T_</w:t>
      </w:r>
      <w:proofErr w:type="gramStart"/>
      <w:r w:rsidRPr="001E7AD0">
        <w:rPr>
          <w:rFonts w:cs="Arial"/>
          <w:lang w:eastAsia="ja-JP"/>
        </w:rPr>
        <w:t>delta,index</w:t>
      </w:r>
      <w:proofErr w:type="spellEnd"/>
      <w:proofErr w:type="gramEnd"/>
      <w:r w:rsidRPr="001E7AD0">
        <w:rPr>
          <w:rFonts w:cs="Arial"/>
          <w:lang w:eastAsia="ja-JP"/>
        </w:rPr>
        <w:t xml:space="preserve"> is 1199, </w:t>
      </w:r>
      <w:proofErr w:type="spellStart"/>
      <w:r w:rsidRPr="001E7AD0">
        <w:rPr>
          <w:rFonts w:cs="Arial"/>
          <w:lang w:eastAsia="ja-JP"/>
        </w:rPr>
        <w:t>T_delta,index</w:t>
      </w:r>
      <w:proofErr w:type="spellEnd"/>
      <w:r w:rsidRPr="001E7AD0">
        <w:rPr>
          <w:rFonts w:cs="Arial"/>
          <w:lang w:eastAsia="ja-JP"/>
        </w:rPr>
        <w:t xml:space="preserve"> is signaled in an 11-bit format. This is sufficient to also support the minimum values shown in</w:t>
      </w:r>
      <w:r w:rsidR="00D26CF0" w:rsidRPr="001E7AD0">
        <w:rPr>
          <w:rFonts w:cs="Arial"/>
          <w:lang w:eastAsia="ja-JP"/>
        </w:rPr>
        <w:t xml:space="preserve"> </w:t>
      </w:r>
      <w:r w:rsidR="00D26CF0" w:rsidRPr="001E7AD0">
        <w:rPr>
          <w:rFonts w:cs="Arial"/>
          <w:lang w:eastAsia="ja-JP"/>
        </w:rPr>
        <w:fldChar w:fldCharType="begin"/>
      </w:r>
      <w:r w:rsidR="00D26CF0" w:rsidRPr="001E7AD0">
        <w:rPr>
          <w:rFonts w:cs="Arial"/>
          <w:lang w:eastAsia="ja-JP"/>
        </w:rPr>
        <w:instrText xml:space="preserve"> REF _Ref87003444 \h </w:instrText>
      </w:r>
      <w:r w:rsidR="00D26CF0" w:rsidRPr="001E7AD0">
        <w:rPr>
          <w:rFonts w:cs="Arial"/>
          <w:lang w:eastAsia="ja-JP"/>
        </w:rPr>
      </w:r>
      <w:r w:rsidR="00D26CF0" w:rsidRPr="001E7AD0">
        <w:rPr>
          <w:rFonts w:cs="Arial"/>
          <w:lang w:eastAsia="ja-JP"/>
        </w:rPr>
        <w:fldChar w:fldCharType="separate"/>
      </w:r>
      <w:r w:rsidR="001853DE" w:rsidRPr="001E7AD0">
        <w:t xml:space="preserve">Table </w:t>
      </w:r>
      <w:r w:rsidR="001853DE">
        <w:rPr>
          <w:noProof/>
        </w:rPr>
        <w:t>2</w:t>
      </w:r>
      <w:r w:rsidR="00D26CF0" w:rsidRPr="001E7AD0">
        <w:rPr>
          <w:rFonts w:cs="Arial"/>
          <w:lang w:eastAsia="ja-JP"/>
        </w:rPr>
        <w:fldChar w:fldCharType="end"/>
      </w:r>
      <w:r w:rsidRPr="001E7AD0">
        <w:t>.</w:t>
      </w:r>
    </w:p>
    <w:p w14:paraId="3D2CD8E1" w14:textId="1E49E491" w:rsidR="00EF68D8" w:rsidRPr="001E7AD0" w:rsidRDefault="00EF68D8" w:rsidP="00BA40BA">
      <w:pPr>
        <w:pStyle w:val="Observation"/>
      </w:pPr>
      <w:bookmarkStart w:id="22" w:name="_Toc87042496"/>
      <w:r w:rsidRPr="001E7AD0">
        <w:t xml:space="preserve">The minimum index values for </w:t>
      </w:r>
      <w:proofErr w:type="spellStart"/>
      <w:r w:rsidRPr="001E7AD0">
        <w:t>T_</w:t>
      </w:r>
      <w:proofErr w:type="gramStart"/>
      <w:r w:rsidRPr="001E7AD0">
        <w:t>delta,index</w:t>
      </w:r>
      <w:proofErr w:type="spellEnd"/>
      <w:proofErr w:type="gramEnd"/>
      <w:r w:rsidRPr="001E7AD0">
        <w:t xml:space="preserve"> in a Case-6 timing configuration are supported by current specification of the </w:t>
      </w:r>
      <w:proofErr w:type="spellStart"/>
      <w:r w:rsidRPr="001E7AD0">
        <w:t>T_delta</w:t>
      </w:r>
      <w:proofErr w:type="spellEnd"/>
      <w:r w:rsidRPr="001E7AD0">
        <w:t xml:space="preserve"> MAC CE signaling format.</w:t>
      </w:r>
      <w:bookmarkEnd w:id="22"/>
    </w:p>
    <w:p w14:paraId="0DB241DB" w14:textId="77777777" w:rsidR="00EF68D8" w:rsidRPr="001E7AD0" w:rsidRDefault="00EF68D8" w:rsidP="00EF68D8">
      <w:pPr>
        <w:jc w:val="both"/>
      </w:pPr>
      <w:r w:rsidRPr="001E7AD0">
        <w:t xml:space="preserve">It is observed that </w:t>
      </w:r>
      <w:proofErr w:type="spellStart"/>
      <w:r w:rsidRPr="001E7AD0">
        <w:t>T_</w:t>
      </w:r>
      <w:proofErr w:type="gramStart"/>
      <w:r w:rsidRPr="001E7AD0">
        <w:t>delta,index</w:t>
      </w:r>
      <w:proofErr w:type="spellEnd"/>
      <w:proofErr w:type="gramEnd"/>
      <w:r w:rsidRPr="001E7AD0">
        <w:t xml:space="preserve"> is an increasing function of the parent BH link propagation delay. That means also that a maximum propagation delay (equivalent BH link distance) is determined by the maximum </w:t>
      </w:r>
      <w:proofErr w:type="spellStart"/>
      <w:r w:rsidRPr="001E7AD0">
        <w:t>T_</w:t>
      </w:r>
      <w:proofErr w:type="gramStart"/>
      <w:r w:rsidRPr="001E7AD0">
        <w:t>delta,index</w:t>
      </w:r>
      <w:proofErr w:type="spellEnd"/>
      <w:proofErr w:type="gramEnd"/>
      <w:r w:rsidRPr="001E7AD0">
        <w:t xml:space="preserve"> for a given signaling format or signaling range.</w:t>
      </w:r>
    </w:p>
    <w:p w14:paraId="0A95226A" w14:textId="04B9543B" w:rsidR="00EF68D8" w:rsidRPr="001E7AD0" w:rsidRDefault="00D26CF0" w:rsidP="00EF68D8">
      <w:pPr>
        <w:jc w:val="both"/>
      </w:pPr>
      <w:r w:rsidRPr="001E7AD0">
        <w:rPr>
          <w:rFonts w:cs="Arial"/>
          <w:lang w:eastAsia="ja-JP"/>
        </w:rPr>
        <w:fldChar w:fldCharType="begin"/>
      </w:r>
      <w:r w:rsidRPr="001E7AD0">
        <w:rPr>
          <w:rFonts w:cs="Arial"/>
          <w:lang w:eastAsia="ja-JP"/>
        </w:rPr>
        <w:instrText xml:space="preserve"> REF _Ref87003484 \h </w:instrText>
      </w:r>
      <w:r w:rsidRPr="001E7AD0">
        <w:rPr>
          <w:rFonts w:cs="Arial"/>
          <w:lang w:eastAsia="ja-JP"/>
        </w:rPr>
      </w:r>
      <w:r w:rsidRPr="001E7AD0">
        <w:rPr>
          <w:rFonts w:cs="Arial"/>
          <w:lang w:eastAsia="ja-JP"/>
        </w:rPr>
        <w:fldChar w:fldCharType="separate"/>
      </w:r>
      <w:r w:rsidR="001853DE" w:rsidRPr="001E7AD0">
        <w:t xml:space="preserve">Table </w:t>
      </w:r>
      <w:r w:rsidR="001853DE">
        <w:rPr>
          <w:noProof/>
        </w:rPr>
        <w:t>3</w:t>
      </w:r>
      <w:r w:rsidRPr="001E7AD0">
        <w:rPr>
          <w:rFonts w:cs="Arial"/>
          <w:lang w:eastAsia="ja-JP"/>
        </w:rPr>
        <w:fldChar w:fldCharType="end"/>
      </w:r>
      <w:r w:rsidRPr="001E7AD0">
        <w:rPr>
          <w:rFonts w:cs="Arial"/>
          <w:lang w:eastAsia="ja-JP"/>
        </w:rPr>
        <w:t xml:space="preserve"> </w:t>
      </w:r>
      <w:r w:rsidR="00EF68D8" w:rsidRPr="001E7AD0">
        <w:rPr>
          <w:rFonts w:cs="Arial"/>
          <w:lang w:eastAsia="ja-JP"/>
        </w:rPr>
        <w:t xml:space="preserve">shows the maximum BH link distances that could be supported without change of the current </w:t>
      </w:r>
      <w:proofErr w:type="spellStart"/>
      <w:r w:rsidR="00EF68D8" w:rsidRPr="001E7AD0">
        <w:rPr>
          <w:rFonts w:cs="Arial"/>
          <w:lang w:eastAsia="ja-JP"/>
        </w:rPr>
        <w:t>T_</w:t>
      </w:r>
      <w:proofErr w:type="gramStart"/>
      <w:r w:rsidR="00EF68D8" w:rsidRPr="001E7AD0">
        <w:rPr>
          <w:rFonts w:cs="Arial"/>
          <w:lang w:eastAsia="ja-JP"/>
        </w:rPr>
        <w:t>delta,index</w:t>
      </w:r>
      <w:proofErr w:type="spellEnd"/>
      <w:proofErr w:type="gramEnd"/>
      <w:r w:rsidR="00EF68D8" w:rsidRPr="001E7AD0">
        <w:rPr>
          <w:rFonts w:cs="Arial"/>
          <w:lang w:eastAsia="ja-JP"/>
        </w:rPr>
        <w:t xml:space="preserve"> MAC CE specification, i.e., assuming </w:t>
      </w:r>
      <w:proofErr w:type="spellStart"/>
      <w:r w:rsidR="00EF68D8" w:rsidRPr="001E7AD0">
        <w:rPr>
          <w:rFonts w:cs="Arial"/>
          <w:lang w:eastAsia="ja-JP"/>
        </w:rPr>
        <w:t>T_delta,index</w:t>
      </w:r>
      <w:proofErr w:type="spellEnd"/>
      <w:r w:rsidR="00EF68D8" w:rsidRPr="001E7AD0">
        <w:rPr>
          <w:rFonts w:cs="Arial"/>
          <w:lang w:eastAsia="ja-JP"/>
        </w:rPr>
        <w:t xml:space="preserve"> = 2047 (full 11 bit range) would be valid.</w:t>
      </w:r>
    </w:p>
    <w:p w14:paraId="61AD17C2" w14:textId="4939E350" w:rsidR="00C439B3" w:rsidRPr="001E7AD0" w:rsidRDefault="00EF68D8" w:rsidP="00BA40BA">
      <w:pPr>
        <w:pStyle w:val="Caption"/>
        <w:jc w:val="center"/>
      </w:pPr>
      <w:bookmarkStart w:id="23" w:name="_Ref87003484"/>
      <w:r w:rsidRPr="001E7AD0">
        <w:t xml:space="preserve">Table </w:t>
      </w:r>
      <w:r w:rsidRPr="001E7AD0">
        <w:fldChar w:fldCharType="begin"/>
      </w:r>
      <w:r w:rsidRPr="001E7AD0">
        <w:instrText xml:space="preserve"> SEQ Table \* ARABIC </w:instrText>
      </w:r>
      <w:r w:rsidRPr="001E7AD0">
        <w:fldChar w:fldCharType="separate"/>
      </w:r>
      <w:r w:rsidR="001853DE">
        <w:rPr>
          <w:noProof/>
        </w:rPr>
        <w:t>3</w:t>
      </w:r>
      <w:r w:rsidRPr="001E7AD0">
        <w:fldChar w:fldCharType="end"/>
      </w:r>
      <w:bookmarkEnd w:id="23"/>
      <w:r w:rsidRPr="001E7AD0">
        <w:t xml:space="preserve">: Maximum link distance assuming </w:t>
      </w:r>
      <w:proofErr w:type="spellStart"/>
      <w:r w:rsidRPr="001E7AD0">
        <w:t>T_</w:t>
      </w:r>
      <w:proofErr w:type="gramStart"/>
      <w:r w:rsidRPr="001E7AD0">
        <w:t>delta,index</w:t>
      </w:r>
      <w:proofErr w:type="spellEnd"/>
      <w:proofErr w:type="gramEnd"/>
      <w:r w:rsidRPr="001E7AD0">
        <w:t xml:space="preserve"> = 2047.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72"/>
        <w:gridCol w:w="2162"/>
      </w:tblGrid>
      <w:tr w:rsidR="00EF68D8" w:rsidRPr="001E7AD0" w14:paraId="63FAC86E" w14:textId="77777777" w:rsidTr="0086618B">
        <w:trPr>
          <w:jc w:val="center"/>
        </w:trPr>
        <w:tc>
          <w:tcPr>
            <w:tcW w:w="0" w:type="auto"/>
            <w:tcBorders>
              <w:top w:val="nil"/>
              <w:left w:val="nil"/>
            </w:tcBorders>
            <w:shd w:val="clear" w:color="auto" w:fill="auto"/>
          </w:tcPr>
          <w:p w14:paraId="1B0BFB0E" w14:textId="77777777" w:rsidR="00EF68D8" w:rsidRPr="001E7AD0" w:rsidRDefault="00EF68D8" w:rsidP="0086618B">
            <w:pPr>
              <w:jc w:val="both"/>
              <w:rPr>
                <w:rFonts w:cs="Arial"/>
              </w:rPr>
            </w:pPr>
          </w:p>
        </w:tc>
        <w:tc>
          <w:tcPr>
            <w:tcW w:w="0" w:type="auto"/>
            <w:shd w:val="clear" w:color="auto" w:fill="auto"/>
          </w:tcPr>
          <w:p w14:paraId="35AB1078" w14:textId="77777777" w:rsidR="00EF68D8" w:rsidRPr="001E7AD0" w:rsidRDefault="00EF68D8" w:rsidP="0086618B">
            <w:pPr>
              <w:jc w:val="both"/>
              <w:rPr>
                <w:rFonts w:cs="Arial"/>
              </w:rPr>
            </w:pPr>
            <w:proofErr w:type="spellStart"/>
            <w:r w:rsidRPr="001E7AD0">
              <w:rPr>
                <w:rFonts w:cs="Arial"/>
              </w:rPr>
              <w:t>N_</w:t>
            </w:r>
            <w:proofErr w:type="gramStart"/>
            <w:r w:rsidRPr="001E7AD0">
              <w:rPr>
                <w:rFonts w:cs="Arial"/>
              </w:rPr>
              <w:t>TA,offset</w:t>
            </w:r>
            <w:proofErr w:type="spellEnd"/>
            <w:proofErr w:type="gramEnd"/>
          </w:p>
        </w:tc>
        <w:tc>
          <w:tcPr>
            <w:tcW w:w="0" w:type="auto"/>
            <w:shd w:val="clear" w:color="auto" w:fill="auto"/>
          </w:tcPr>
          <w:p w14:paraId="7EA390E6" w14:textId="77777777" w:rsidR="00EF68D8" w:rsidRPr="001E7AD0" w:rsidRDefault="00EF68D8" w:rsidP="0086618B">
            <w:pPr>
              <w:jc w:val="both"/>
              <w:rPr>
                <w:rFonts w:cs="Arial"/>
                <w:color w:val="000000"/>
              </w:rPr>
            </w:pPr>
            <w:r w:rsidRPr="001E7AD0">
              <w:rPr>
                <w:rFonts w:cs="Arial"/>
                <w:color w:val="000000"/>
              </w:rPr>
              <w:t>Max BH distance [km]</w:t>
            </w:r>
          </w:p>
        </w:tc>
      </w:tr>
      <w:tr w:rsidR="00EF68D8" w:rsidRPr="001E7AD0" w14:paraId="6B580466" w14:textId="77777777" w:rsidTr="0086618B">
        <w:trPr>
          <w:jc w:val="center"/>
        </w:trPr>
        <w:tc>
          <w:tcPr>
            <w:tcW w:w="0" w:type="auto"/>
            <w:vMerge w:val="restart"/>
            <w:shd w:val="clear" w:color="auto" w:fill="auto"/>
          </w:tcPr>
          <w:p w14:paraId="26E80DFC" w14:textId="77777777" w:rsidR="00EF68D8" w:rsidRPr="001E7AD0" w:rsidRDefault="00EF68D8" w:rsidP="0086618B">
            <w:pPr>
              <w:jc w:val="both"/>
              <w:rPr>
                <w:rFonts w:cs="Arial"/>
              </w:rPr>
            </w:pPr>
            <w:r w:rsidRPr="001E7AD0">
              <w:rPr>
                <w:rFonts w:cs="Arial"/>
              </w:rPr>
              <w:t>FR1</w:t>
            </w:r>
          </w:p>
        </w:tc>
        <w:tc>
          <w:tcPr>
            <w:tcW w:w="0" w:type="auto"/>
            <w:shd w:val="clear" w:color="auto" w:fill="auto"/>
            <w:vAlign w:val="bottom"/>
          </w:tcPr>
          <w:p w14:paraId="2F6D5736" w14:textId="77777777" w:rsidR="00EF68D8" w:rsidRPr="001E7AD0" w:rsidDel="00B37B10" w:rsidRDefault="00EF68D8" w:rsidP="0086618B">
            <w:pPr>
              <w:jc w:val="both"/>
              <w:rPr>
                <w:rFonts w:cs="Arial"/>
                <w:color w:val="000000"/>
              </w:rPr>
            </w:pPr>
            <w:r w:rsidRPr="001E7AD0">
              <w:rPr>
                <w:rFonts w:cs="Arial"/>
                <w:color w:val="000000"/>
              </w:rPr>
              <w:t>25600</w:t>
            </w:r>
          </w:p>
        </w:tc>
        <w:tc>
          <w:tcPr>
            <w:tcW w:w="0" w:type="auto"/>
            <w:shd w:val="clear" w:color="auto" w:fill="auto"/>
          </w:tcPr>
          <w:p w14:paraId="10B78438" w14:textId="77777777" w:rsidR="00EF68D8" w:rsidRPr="001E7AD0" w:rsidRDefault="00EF68D8" w:rsidP="0086618B">
            <w:pPr>
              <w:jc w:val="both"/>
              <w:rPr>
                <w:rFonts w:cs="Arial"/>
              </w:rPr>
            </w:pPr>
            <w:r w:rsidRPr="001E7AD0">
              <w:rPr>
                <w:rFonts w:cs="Arial"/>
                <w:color w:val="000000"/>
              </w:rPr>
              <w:t>14,5</w:t>
            </w:r>
          </w:p>
        </w:tc>
      </w:tr>
      <w:tr w:rsidR="00EF68D8" w:rsidRPr="001E7AD0" w14:paraId="214A9381" w14:textId="77777777" w:rsidTr="0086618B">
        <w:trPr>
          <w:jc w:val="center"/>
        </w:trPr>
        <w:tc>
          <w:tcPr>
            <w:tcW w:w="0" w:type="auto"/>
            <w:vMerge/>
            <w:shd w:val="clear" w:color="auto" w:fill="auto"/>
          </w:tcPr>
          <w:p w14:paraId="2AADB5C4" w14:textId="77777777" w:rsidR="00EF68D8" w:rsidRPr="001E7AD0" w:rsidRDefault="00EF68D8" w:rsidP="0086618B">
            <w:pPr>
              <w:jc w:val="both"/>
              <w:rPr>
                <w:rFonts w:cs="Arial"/>
              </w:rPr>
            </w:pPr>
          </w:p>
        </w:tc>
        <w:tc>
          <w:tcPr>
            <w:tcW w:w="0" w:type="auto"/>
            <w:shd w:val="clear" w:color="auto" w:fill="auto"/>
            <w:vAlign w:val="bottom"/>
          </w:tcPr>
          <w:p w14:paraId="6522EBA7" w14:textId="77777777" w:rsidR="00EF68D8" w:rsidRPr="001E7AD0" w:rsidDel="00F94ED9" w:rsidRDefault="00EF68D8" w:rsidP="0086618B">
            <w:pPr>
              <w:jc w:val="both"/>
              <w:rPr>
                <w:rFonts w:cs="Arial"/>
              </w:rPr>
            </w:pPr>
            <w:r w:rsidRPr="001E7AD0">
              <w:rPr>
                <w:rFonts w:cs="Arial"/>
                <w:color w:val="000000"/>
              </w:rPr>
              <w:t>39936</w:t>
            </w:r>
          </w:p>
        </w:tc>
        <w:tc>
          <w:tcPr>
            <w:tcW w:w="0" w:type="auto"/>
            <w:shd w:val="clear" w:color="auto" w:fill="auto"/>
          </w:tcPr>
          <w:p w14:paraId="07B76281" w14:textId="77777777" w:rsidR="00EF68D8" w:rsidRPr="001E7AD0" w:rsidRDefault="00EF68D8" w:rsidP="0086618B">
            <w:pPr>
              <w:jc w:val="both"/>
              <w:rPr>
                <w:rFonts w:cs="Arial"/>
              </w:rPr>
            </w:pPr>
            <w:r w:rsidRPr="001E7AD0">
              <w:rPr>
                <w:rFonts w:cs="Arial"/>
              </w:rPr>
              <w:t>12,4</w:t>
            </w:r>
          </w:p>
        </w:tc>
      </w:tr>
      <w:tr w:rsidR="00EF68D8" w:rsidRPr="001E7AD0" w14:paraId="538D45AA" w14:textId="77777777" w:rsidTr="0086618B">
        <w:trPr>
          <w:jc w:val="center"/>
        </w:trPr>
        <w:tc>
          <w:tcPr>
            <w:tcW w:w="0" w:type="auto"/>
            <w:shd w:val="clear" w:color="auto" w:fill="auto"/>
          </w:tcPr>
          <w:p w14:paraId="45098EE2" w14:textId="77777777" w:rsidR="00EF68D8" w:rsidRPr="001E7AD0" w:rsidRDefault="00EF68D8" w:rsidP="0086618B">
            <w:pPr>
              <w:jc w:val="both"/>
              <w:rPr>
                <w:rFonts w:cs="Arial"/>
              </w:rPr>
            </w:pPr>
            <w:r w:rsidRPr="001E7AD0">
              <w:rPr>
                <w:rFonts w:cs="Arial"/>
              </w:rPr>
              <w:t>FR2</w:t>
            </w:r>
          </w:p>
        </w:tc>
        <w:tc>
          <w:tcPr>
            <w:tcW w:w="0" w:type="auto"/>
            <w:shd w:val="clear" w:color="auto" w:fill="auto"/>
            <w:vAlign w:val="bottom"/>
          </w:tcPr>
          <w:p w14:paraId="1ABB57D5" w14:textId="77777777" w:rsidR="00EF68D8" w:rsidRPr="001E7AD0" w:rsidDel="00F94ED9" w:rsidRDefault="00EF68D8" w:rsidP="0086618B">
            <w:pPr>
              <w:jc w:val="both"/>
              <w:rPr>
                <w:rFonts w:cs="Arial"/>
              </w:rPr>
            </w:pPr>
            <w:r w:rsidRPr="001E7AD0">
              <w:rPr>
                <w:rFonts w:cs="Arial"/>
              </w:rPr>
              <w:t>13792</w:t>
            </w:r>
          </w:p>
        </w:tc>
        <w:tc>
          <w:tcPr>
            <w:tcW w:w="0" w:type="auto"/>
            <w:shd w:val="clear" w:color="auto" w:fill="auto"/>
          </w:tcPr>
          <w:p w14:paraId="20255727" w14:textId="77777777" w:rsidR="00EF68D8" w:rsidRPr="001E7AD0" w:rsidRDefault="00EF68D8" w:rsidP="0086618B">
            <w:pPr>
              <w:jc w:val="both"/>
              <w:rPr>
                <w:rFonts w:cs="Arial"/>
              </w:rPr>
            </w:pPr>
            <w:r w:rsidRPr="001E7AD0">
              <w:rPr>
                <w:rFonts w:cs="Arial"/>
                <w:color w:val="000000"/>
              </w:rPr>
              <w:t>12,5</w:t>
            </w:r>
          </w:p>
        </w:tc>
      </w:tr>
    </w:tbl>
    <w:p w14:paraId="19B0974B" w14:textId="225B67E6" w:rsidR="00EF68D8" w:rsidRPr="001E7AD0" w:rsidRDefault="00EF68D8" w:rsidP="009879A3">
      <w:pPr>
        <w:spacing w:before="240"/>
        <w:jc w:val="both"/>
        <w:rPr>
          <w:rFonts w:cs="Arial"/>
          <w:lang w:eastAsia="ja-JP"/>
        </w:rPr>
      </w:pPr>
      <w:r w:rsidRPr="001E7AD0">
        <w:t xml:space="preserve">In addition to the 11 used bits, the current MAC CE for </w:t>
      </w:r>
      <w:proofErr w:type="spellStart"/>
      <w:r w:rsidRPr="001E7AD0">
        <w:t>T_</w:t>
      </w:r>
      <w:proofErr w:type="gramStart"/>
      <w:r w:rsidRPr="001E7AD0">
        <w:t>delta,index</w:t>
      </w:r>
      <w:proofErr w:type="spellEnd"/>
      <w:proofErr w:type="gramEnd"/>
      <w:r w:rsidRPr="001E7AD0">
        <w:t xml:space="preserve"> has five bits unused/reserved. Hence, one can go one step further and consider adding 1 bit for the </w:t>
      </w:r>
      <w:proofErr w:type="spellStart"/>
      <w:r w:rsidRPr="001E7AD0">
        <w:t>T_</w:t>
      </w:r>
      <w:proofErr w:type="gramStart"/>
      <w:r w:rsidRPr="001E7AD0">
        <w:t>delta,index</w:t>
      </w:r>
      <w:proofErr w:type="spellEnd"/>
      <w:proofErr w:type="gramEnd"/>
      <w:r w:rsidRPr="001E7AD0">
        <w:t xml:space="preserve"> field, thus extending it from 11 bit to 12 bit and thereby having a </w:t>
      </w:r>
      <w:proofErr w:type="spellStart"/>
      <w:r w:rsidRPr="001E7AD0">
        <w:t>T_delta,index</w:t>
      </w:r>
      <w:proofErr w:type="spellEnd"/>
      <w:r w:rsidRPr="001E7AD0">
        <w:t xml:space="preserve"> range of (0,1,…4095). </w:t>
      </w:r>
      <w:r w:rsidR="00D26CF0" w:rsidRPr="001E7AD0">
        <w:fldChar w:fldCharType="begin"/>
      </w:r>
      <w:r w:rsidR="00D26CF0" w:rsidRPr="001E7AD0">
        <w:instrText xml:space="preserve"> REF _Ref87003496 \h </w:instrText>
      </w:r>
      <w:r w:rsidR="00D26CF0" w:rsidRPr="001E7AD0">
        <w:fldChar w:fldCharType="separate"/>
      </w:r>
      <w:r w:rsidR="001853DE" w:rsidRPr="001E7AD0">
        <w:t xml:space="preserve">Table </w:t>
      </w:r>
      <w:r w:rsidR="001853DE">
        <w:rPr>
          <w:noProof/>
        </w:rPr>
        <w:t>4</w:t>
      </w:r>
      <w:r w:rsidR="00D26CF0" w:rsidRPr="001E7AD0">
        <w:fldChar w:fldCharType="end"/>
      </w:r>
      <w:r w:rsidR="00D26CF0" w:rsidRPr="001E7AD0">
        <w:t xml:space="preserve"> </w:t>
      </w:r>
      <w:r w:rsidRPr="001E7AD0">
        <w:t>show what maximum BH link distance could be supported.</w:t>
      </w:r>
    </w:p>
    <w:p w14:paraId="6CEEA158" w14:textId="48E1AA3F" w:rsidR="00EF68D8" w:rsidRPr="001E7AD0" w:rsidRDefault="00EF68D8" w:rsidP="00BA40BA">
      <w:pPr>
        <w:pStyle w:val="Caption"/>
        <w:jc w:val="center"/>
      </w:pPr>
      <w:bookmarkStart w:id="24" w:name="_Ref87003496"/>
      <w:r w:rsidRPr="001E7AD0">
        <w:t xml:space="preserve">Table </w:t>
      </w:r>
      <w:r w:rsidRPr="001E7AD0">
        <w:fldChar w:fldCharType="begin"/>
      </w:r>
      <w:r w:rsidRPr="001E7AD0">
        <w:instrText xml:space="preserve"> SEQ Table \* ARABIC </w:instrText>
      </w:r>
      <w:r w:rsidRPr="001E7AD0">
        <w:fldChar w:fldCharType="separate"/>
      </w:r>
      <w:r w:rsidR="001853DE">
        <w:rPr>
          <w:noProof/>
        </w:rPr>
        <w:t>4</w:t>
      </w:r>
      <w:r w:rsidRPr="001E7AD0">
        <w:fldChar w:fldCharType="end"/>
      </w:r>
      <w:bookmarkEnd w:id="24"/>
      <w:r w:rsidRPr="001E7AD0">
        <w:t xml:space="preserve">: Maximum link distance assuming </w:t>
      </w:r>
      <w:proofErr w:type="spellStart"/>
      <w:r w:rsidRPr="001E7AD0">
        <w:t>T_</w:t>
      </w:r>
      <w:proofErr w:type="gramStart"/>
      <w:r w:rsidRPr="001E7AD0">
        <w:t>delta,index</w:t>
      </w:r>
      <w:proofErr w:type="spellEnd"/>
      <w:proofErr w:type="gramEnd"/>
      <w:r w:rsidRPr="001E7AD0">
        <w:t xml:space="preserve"> = 4095.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72"/>
        <w:gridCol w:w="2162"/>
      </w:tblGrid>
      <w:tr w:rsidR="00EF68D8" w:rsidRPr="001E7AD0" w14:paraId="588C8090" w14:textId="77777777" w:rsidTr="0086618B">
        <w:trPr>
          <w:jc w:val="center"/>
        </w:trPr>
        <w:tc>
          <w:tcPr>
            <w:tcW w:w="0" w:type="auto"/>
            <w:tcBorders>
              <w:top w:val="nil"/>
              <w:left w:val="nil"/>
            </w:tcBorders>
            <w:shd w:val="clear" w:color="auto" w:fill="auto"/>
          </w:tcPr>
          <w:p w14:paraId="6FDD5801" w14:textId="77777777" w:rsidR="00EF68D8" w:rsidRPr="001E7AD0" w:rsidRDefault="00EF68D8" w:rsidP="0086618B">
            <w:pPr>
              <w:jc w:val="both"/>
              <w:rPr>
                <w:rFonts w:cs="Arial"/>
              </w:rPr>
            </w:pPr>
          </w:p>
        </w:tc>
        <w:tc>
          <w:tcPr>
            <w:tcW w:w="0" w:type="auto"/>
            <w:shd w:val="clear" w:color="auto" w:fill="auto"/>
          </w:tcPr>
          <w:p w14:paraId="19862204" w14:textId="77777777" w:rsidR="00EF68D8" w:rsidRPr="001E7AD0" w:rsidRDefault="00EF68D8" w:rsidP="0086618B">
            <w:pPr>
              <w:jc w:val="both"/>
              <w:rPr>
                <w:rFonts w:cs="Arial"/>
              </w:rPr>
            </w:pPr>
            <w:proofErr w:type="spellStart"/>
            <w:r w:rsidRPr="001E7AD0">
              <w:rPr>
                <w:rFonts w:cs="Arial"/>
              </w:rPr>
              <w:t>N_</w:t>
            </w:r>
            <w:proofErr w:type="gramStart"/>
            <w:r w:rsidRPr="001E7AD0">
              <w:rPr>
                <w:rFonts w:cs="Arial"/>
              </w:rPr>
              <w:t>TA,offset</w:t>
            </w:r>
            <w:proofErr w:type="spellEnd"/>
            <w:proofErr w:type="gramEnd"/>
          </w:p>
        </w:tc>
        <w:tc>
          <w:tcPr>
            <w:tcW w:w="0" w:type="auto"/>
            <w:shd w:val="clear" w:color="auto" w:fill="auto"/>
          </w:tcPr>
          <w:p w14:paraId="49D3AC79" w14:textId="77777777" w:rsidR="00EF68D8" w:rsidRPr="001E7AD0" w:rsidRDefault="00EF68D8" w:rsidP="0086618B">
            <w:pPr>
              <w:jc w:val="both"/>
              <w:rPr>
                <w:rFonts w:cs="Arial"/>
              </w:rPr>
            </w:pPr>
            <w:r w:rsidRPr="001E7AD0">
              <w:rPr>
                <w:rFonts w:cs="Arial"/>
              </w:rPr>
              <w:t>Max BH distance [km]</w:t>
            </w:r>
          </w:p>
        </w:tc>
      </w:tr>
      <w:tr w:rsidR="00EF68D8" w:rsidRPr="001E7AD0" w14:paraId="76379E6A" w14:textId="77777777" w:rsidTr="0086618B">
        <w:trPr>
          <w:jc w:val="center"/>
        </w:trPr>
        <w:tc>
          <w:tcPr>
            <w:tcW w:w="0" w:type="auto"/>
            <w:vMerge w:val="restart"/>
            <w:shd w:val="clear" w:color="auto" w:fill="auto"/>
          </w:tcPr>
          <w:p w14:paraId="212CEFA7" w14:textId="77777777" w:rsidR="00EF68D8" w:rsidRPr="001E7AD0" w:rsidRDefault="00EF68D8" w:rsidP="0086618B">
            <w:pPr>
              <w:jc w:val="both"/>
              <w:rPr>
                <w:rFonts w:cs="Arial"/>
              </w:rPr>
            </w:pPr>
            <w:r w:rsidRPr="001E7AD0">
              <w:rPr>
                <w:rFonts w:cs="Arial"/>
              </w:rPr>
              <w:t>FR1</w:t>
            </w:r>
          </w:p>
        </w:tc>
        <w:tc>
          <w:tcPr>
            <w:tcW w:w="0" w:type="auto"/>
            <w:shd w:val="clear" w:color="auto" w:fill="auto"/>
            <w:vAlign w:val="bottom"/>
          </w:tcPr>
          <w:p w14:paraId="53F29D41" w14:textId="77777777" w:rsidR="00EF68D8" w:rsidRPr="001E7AD0" w:rsidDel="00B37B10" w:rsidRDefault="00EF68D8" w:rsidP="0086618B">
            <w:pPr>
              <w:jc w:val="both"/>
              <w:rPr>
                <w:rFonts w:cs="Arial"/>
                <w:color w:val="000000"/>
              </w:rPr>
            </w:pPr>
            <w:r w:rsidRPr="001E7AD0">
              <w:rPr>
                <w:rFonts w:cs="Arial"/>
                <w:color w:val="000000"/>
              </w:rPr>
              <w:t>25600</w:t>
            </w:r>
          </w:p>
        </w:tc>
        <w:tc>
          <w:tcPr>
            <w:tcW w:w="0" w:type="auto"/>
            <w:shd w:val="clear" w:color="auto" w:fill="auto"/>
          </w:tcPr>
          <w:p w14:paraId="1D879A50" w14:textId="77777777" w:rsidR="00EF68D8" w:rsidRPr="001E7AD0" w:rsidRDefault="00EF68D8" w:rsidP="0086618B">
            <w:pPr>
              <w:jc w:val="both"/>
              <w:rPr>
                <w:rFonts w:cs="Arial"/>
              </w:rPr>
            </w:pPr>
            <w:r w:rsidRPr="001E7AD0">
              <w:rPr>
                <w:rFonts w:cs="Arial"/>
              </w:rPr>
              <w:t>54,5</w:t>
            </w:r>
          </w:p>
        </w:tc>
      </w:tr>
      <w:tr w:rsidR="00EF68D8" w:rsidRPr="001E7AD0" w14:paraId="0E1DABF6" w14:textId="77777777" w:rsidTr="0086618B">
        <w:trPr>
          <w:jc w:val="center"/>
        </w:trPr>
        <w:tc>
          <w:tcPr>
            <w:tcW w:w="0" w:type="auto"/>
            <w:vMerge/>
            <w:shd w:val="clear" w:color="auto" w:fill="auto"/>
          </w:tcPr>
          <w:p w14:paraId="4EC540EB" w14:textId="77777777" w:rsidR="00EF68D8" w:rsidRPr="001E7AD0" w:rsidRDefault="00EF68D8" w:rsidP="0086618B">
            <w:pPr>
              <w:jc w:val="both"/>
              <w:rPr>
                <w:rFonts w:cs="Arial"/>
              </w:rPr>
            </w:pPr>
          </w:p>
        </w:tc>
        <w:tc>
          <w:tcPr>
            <w:tcW w:w="0" w:type="auto"/>
            <w:shd w:val="clear" w:color="auto" w:fill="auto"/>
            <w:vAlign w:val="bottom"/>
          </w:tcPr>
          <w:p w14:paraId="00584D51" w14:textId="77777777" w:rsidR="00EF68D8" w:rsidRPr="001E7AD0" w:rsidDel="00F94ED9" w:rsidRDefault="00EF68D8" w:rsidP="0086618B">
            <w:pPr>
              <w:jc w:val="both"/>
              <w:rPr>
                <w:rFonts w:cs="Arial"/>
              </w:rPr>
            </w:pPr>
            <w:r w:rsidRPr="001E7AD0">
              <w:rPr>
                <w:rFonts w:cs="Arial"/>
                <w:color w:val="000000"/>
              </w:rPr>
              <w:t>39936</w:t>
            </w:r>
          </w:p>
        </w:tc>
        <w:tc>
          <w:tcPr>
            <w:tcW w:w="0" w:type="auto"/>
            <w:shd w:val="clear" w:color="auto" w:fill="auto"/>
          </w:tcPr>
          <w:p w14:paraId="569ADD03" w14:textId="77777777" w:rsidR="00EF68D8" w:rsidRPr="001E7AD0" w:rsidRDefault="00EF68D8" w:rsidP="0086618B">
            <w:pPr>
              <w:jc w:val="both"/>
              <w:rPr>
                <w:rFonts w:cs="Arial"/>
              </w:rPr>
            </w:pPr>
            <w:r w:rsidRPr="001E7AD0">
              <w:rPr>
                <w:rFonts w:cs="Arial"/>
              </w:rPr>
              <w:t>52,4</w:t>
            </w:r>
          </w:p>
        </w:tc>
      </w:tr>
      <w:tr w:rsidR="00EF68D8" w:rsidRPr="001E7AD0" w14:paraId="2881F592" w14:textId="77777777" w:rsidTr="0086618B">
        <w:trPr>
          <w:jc w:val="center"/>
        </w:trPr>
        <w:tc>
          <w:tcPr>
            <w:tcW w:w="0" w:type="auto"/>
            <w:shd w:val="clear" w:color="auto" w:fill="auto"/>
          </w:tcPr>
          <w:p w14:paraId="235AC580" w14:textId="77777777" w:rsidR="00EF68D8" w:rsidRPr="001E7AD0" w:rsidRDefault="00EF68D8" w:rsidP="0086618B">
            <w:pPr>
              <w:jc w:val="both"/>
              <w:rPr>
                <w:rFonts w:cs="Arial"/>
              </w:rPr>
            </w:pPr>
            <w:r w:rsidRPr="001E7AD0">
              <w:rPr>
                <w:rFonts w:cs="Arial"/>
              </w:rPr>
              <w:t>FR2</w:t>
            </w:r>
          </w:p>
        </w:tc>
        <w:tc>
          <w:tcPr>
            <w:tcW w:w="0" w:type="auto"/>
            <w:shd w:val="clear" w:color="auto" w:fill="auto"/>
            <w:vAlign w:val="bottom"/>
          </w:tcPr>
          <w:p w14:paraId="6C577DC3" w14:textId="77777777" w:rsidR="00EF68D8" w:rsidRPr="001E7AD0" w:rsidDel="00F94ED9" w:rsidRDefault="00EF68D8" w:rsidP="0086618B">
            <w:pPr>
              <w:jc w:val="both"/>
              <w:rPr>
                <w:rFonts w:cs="Arial"/>
              </w:rPr>
            </w:pPr>
            <w:r w:rsidRPr="001E7AD0">
              <w:rPr>
                <w:rFonts w:cs="Arial"/>
              </w:rPr>
              <w:t>13792</w:t>
            </w:r>
          </w:p>
        </w:tc>
        <w:tc>
          <w:tcPr>
            <w:tcW w:w="0" w:type="auto"/>
            <w:shd w:val="clear" w:color="auto" w:fill="auto"/>
          </w:tcPr>
          <w:p w14:paraId="73809FDE" w14:textId="77777777" w:rsidR="00EF68D8" w:rsidRPr="001E7AD0" w:rsidRDefault="00EF68D8" w:rsidP="0086618B">
            <w:pPr>
              <w:jc w:val="both"/>
              <w:rPr>
                <w:rFonts w:cs="Arial"/>
              </w:rPr>
            </w:pPr>
            <w:r w:rsidRPr="001E7AD0">
              <w:rPr>
                <w:rFonts w:cs="Arial"/>
              </w:rPr>
              <w:t>32,5</w:t>
            </w:r>
          </w:p>
        </w:tc>
      </w:tr>
    </w:tbl>
    <w:p w14:paraId="1BA91656" w14:textId="795844DD" w:rsidR="00E5429E" w:rsidRPr="001E7AD0" w:rsidRDefault="00E5429E" w:rsidP="009879A3">
      <w:pPr>
        <w:spacing w:before="240"/>
        <w:jc w:val="both"/>
      </w:pPr>
      <w:r w:rsidRPr="001E7AD0">
        <w:rPr>
          <w:iCs/>
        </w:rPr>
        <w:t xml:space="preserve">Changing the valid range </w:t>
      </w:r>
      <w:r w:rsidR="00A26CBC" w:rsidRPr="001E7AD0">
        <w:rPr>
          <w:iCs/>
        </w:rPr>
        <w:t>of</w:t>
      </w:r>
      <w:r w:rsidRPr="001E7AD0">
        <w:rPr>
          <w:iCs/>
        </w:rPr>
        <w:t xml:space="preserve"> </w:t>
      </w:r>
      <w:proofErr w:type="spellStart"/>
      <w:r w:rsidRPr="001E7AD0">
        <w:rPr>
          <w:iCs/>
        </w:rPr>
        <w:t>T_</w:t>
      </w:r>
      <w:proofErr w:type="gramStart"/>
      <w:r w:rsidRPr="001E7AD0">
        <w:rPr>
          <w:iCs/>
        </w:rPr>
        <w:t>delta,index</w:t>
      </w:r>
      <w:proofErr w:type="spellEnd"/>
      <w:proofErr w:type="gramEnd"/>
      <w:r w:rsidRPr="001E7AD0">
        <w:rPr>
          <w:iCs/>
        </w:rPr>
        <w:t xml:space="preserve"> from (0,1…1199) to (0,1…2047) can support </w:t>
      </w:r>
      <w:r w:rsidRPr="001E7AD0">
        <w:rPr>
          <w:rFonts w:cs="Arial"/>
          <w:szCs w:val="20"/>
          <w:lang w:eastAsia="ja-JP"/>
        </w:rPr>
        <w:t>maintaining Case 6 timing mode</w:t>
      </w:r>
      <w:r w:rsidR="00A26CBC" w:rsidRPr="001E7AD0">
        <w:rPr>
          <w:rFonts w:cs="Arial"/>
          <w:szCs w:val="20"/>
          <w:lang w:eastAsia="ja-JP"/>
        </w:rPr>
        <w:t xml:space="preserve"> –</w:t>
      </w:r>
      <w:r w:rsidR="00A26CBC" w:rsidRPr="001E7AD0">
        <w:t xml:space="preserve"> </w:t>
      </w:r>
      <w:r w:rsidRPr="001E7AD0">
        <w:rPr>
          <w:iCs/>
        </w:rPr>
        <w:t xml:space="preserve">with </w:t>
      </w:r>
      <w:r w:rsidR="002F1232" w:rsidRPr="001E7AD0">
        <w:rPr>
          <w:iCs/>
        </w:rPr>
        <w:t>absolute minimum specification impact.</w:t>
      </w:r>
    </w:p>
    <w:p w14:paraId="1BF2E39C" w14:textId="2BE0071D" w:rsidR="00EF68D8" w:rsidRPr="001E7AD0" w:rsidRDefault="00EF68D8" w:rsidP="00EF68D8">
      <w:pPr>
        <w:jc w:val="both"/>
        <w:rPr>
          <w:iCs/>
        </w:rPr>
      </w:pPr>
      <w:r w:rsidRPr="001E7AD0">
        <w:rPr>
          <w:iCs/>
        </w:rPr>
        <w:lastRenderedPageBreak/>
        <w:t>We are</w:t>
      </w:r>
      <w:r w:rsidRPr="001E7AD0" w:rsidDel="002F1232">
        <w:rPr>
          <w:iCs/>
        </w:rPr>
        <w:t xml:space="preserve"> </w:t>
      </w:r>
      <w:r w:rsidRPr="001E7AD0">
        <w:rPr>
          <w:iCs/>
        </w:rPr>
        <w:t xml:space="preserve">willing to extend the bit field in the </w:t>
      </w:r>
      <w:proofErr w:type="spellStart"/>
      <w:r w:rsidRPr="001E7AD0">
        <w:rPr>
          <w:iCs/>
        </w:rPr>
        <w:t>T_delta</w:t>
      </w:r>
      <w:proofErr w:type="spellEnd"/>
      <w:r w:rsidRPr="001E7AD0">
        <w:rPr>
          <w:iCs/>
        </w:rPr>
        <w:t xml:space="preserve"> MAC CE by one bit considering it would allow for all practical use cases in FR1 or FR2.</w:t>
      </w:r>
    </w:p>
    <w:p w14:paraId="43196D0C" w14:textId="3680A357" w:rsidR="00C439B3" w:rsidRPr="001E7AD0" w:rsidRDefault="00EF68D8" w:rsidP="00BA40BA">
      <w:pPr>
        <w:pStyle w:val="Proposal"/>
      </w:pPr>
      <w:bookmarkStart w:id="25" w:name="_Toc87042512"/>
      <w:r w:rsidRPr="001E7AD0">
        <w:t xml:space="preserve">Extend the valid </w:t>
      </w:r>
      <w:proofErr w:type="spellStart"/>
      <w:r w:rsidRPr="001E7AD0">
        <w:t>T_</w:t>
      </w:r>
      <w:proofErr w:type="gramStart"/>
      <w:r w:rsidRPr="001E7AD0">
        <w:t>delta,index</w:t>
      </w:r>
      <w:proofErr w:type="spellEnd"/>
      <w:proofErr w:type="gramEnd"/>
      <w:r w:rsidRPr="001E7AD0">
        <w:t xml:space="preserve"> range from (0,1…1199) to (0,1…2047).</w:t>
      </w:r>
      <w:bookmarkEnd w:id="25"/>
    </w:p>
    <w:p w14:paraId="0007114F" w14:textId="00CAEF2E" w:rsidR="00EF68D8" w:rsidRPr="001E7AD0" w:rsidRDefault="00EF68D8" w:rsidP="00BA40BA">
      <w:pPr>
        <w:pStyle w:val="Proposal"/>
      </w:pPr>
      <w:bookmarkStart w:id="26" w:name="_Toc87042513"/>
      <w:r w:rsidRPr="001E7AD0">
        <w:t xml:space="preserve">Extending the bit field of the </w:t>
      </w:r>
      <w:proofErr w:type="spellStart"/>
      <w:r w:rsidRPr="001E7AD0">
        <w:t>T_delta</w:t>
      </w:r>
      <w:proofErr w:type="spellEnd"/>
      <w:r w:rsidRPr="001E7AD0">
        <w:t xml:space="preserve"> MAC CE</w:t>
      </w:r>
      <w:r w:rsidR="001A68BD" w:rsidRPr="001E7AD0">
        <w:t xml:space="preserve"> to 12 bits</w:t>
      </w:r>
      <w:r w:rsidRPr="001E7AD0">
        <w:t>.</w:t>
      </w:r>
      <w:bookmarkEnd w:id="26"/>
    </w:p>
    <w:p w14:paraId="0CA209A7" w14:textId="1C067C26" w:rsidR="006B57E7" w:rsidRPr="001E7AD0" w:rsidRDefault="00D500A5" w:rsidP="00FF09B0">
      <w:pPr>
        <w:jc w:val="both"/>
        <w:rPr>
          <w:rFonts w:cs="Arial"/>
          <w:szCs w:val="20"/>
          <w:lang w:eastAsia="ja-JP"/>
        </w:rPr>
      </w:pPr>
      <w:r w:rsidRPr="001E7AD0">
        <w:t>One of the</w:t>
      </w:r>
      <w:r w:rsidR="002F1232" w:rsidRPr="001E7AD0">
        <w:t xml:space="preserve"> </w:t>
      </w:r>
      <w:r w:rsidR="00D62B99" w:rsidRPr="001E7AD0">
        <w:t>agreement</w:t>
      </w:r>
      <w:r w:rsidRPr="001E7AD0">
        <w:t>s</w:t>
      </w:r>
      <w:r w:rsidR="00D62B99" w:rsidRPr="001E7AD0">
        <w:t xml:space="preserve"> from RAN1 #106-bis asks to </w:t>
      </w:r>
      <w:proofErr w:type="spellStart"/>
      <w:r w:rsidR="00D62B99" w:rsidRPr="001E7AD0">
        <w:t>downselect</w:t>
      </w:r>
      <w:proofErr w:type="spellEnd"/>
      <w:r w:rsidR="00D62B99" w:rsidRPr="001E7AD0">
        <w:t xml:space="preserve"> an alternative that </w:t>
      </w:r>
      <w:r w:rsidR="00D62B99" w:rsidRPr="001E7AD0">
        <w:rPr>
          <w:rFonts w:cs="Arial"/>
          <w:szCs w:val="20"/>
          <w:lang w:eastAsia="ja-JP"/>
        </w:rPr>
        <w:t>provide</w:t>
      </w:r>
      <w:r w:rsidR="006B57E7" w:rsidRPr="001E7AD0">
        <w:rPr>
          <w:rFonts w:cs="Arial"/>
          <w:szCs w:val="20"/>
          <w:lang w:eastAsia="ja-JP"/>
        </w:rPr>
        <w:t>s</w:t>
      </w:r>
      <w:r w:rsidR="00D62B99" w:rsidRPr="001E7AD0">
        <w:rPr>
          <w:rFonts w:cs="Arial"/>
          <w:szCs w:val="20"/>
          <w:lang w:eastAsia="ja-JP"/>
        </w:rPr>
        <w:t xml:space="preserve"> a feasible solution, so that an IAB-node can rely on an OTA timing synchronization mechanism to enable/maintain Case 6 timing mode. We share the understanding of </w:t>
      </w:r>
      <w:r w:rsidR="002C5BD9" w:rsidRPr="001E7AD0">
        <w:rPr>
          <w:rFonts w:cs="Arial"/>
          <w:szCs w:val="20"/>
          <w:lang w:eastAsia="ja-JP"/>
        </w:rPr>
        <w:t>“</w:t>
      </w:r>
      <w:r w:rsidR="00D62B99" w:rsidRPr="001E7AD0">
        <w:rPr>
          <w:rFonts w:cs="Arial"/>
          <w:szCs w:val="20"/>
          <w:lang w:eastAsia="ja-JP"/>
        </w:rPr>
        <w:t>to maintain</w:t>
      </w:r>
      <w:r w:rsidR="002C5BD9" w:rsidRPr="001E7AD0">
        <w:rPr>
          <w:rFonts w:cs="Arial"/>
          <w:szCs w:val="20"/>
          <w:lang w:eastAsia="ja-JP"/>
        </w:rPr>
        <w:t>”</w:t>
      </w:r>
      <w:r w:rsidR="00D62B99" w:rsidRPr="001E7AD0">
        <w:rPr>
          <w:rFonts w:cs="Arial"/>
          <w:szCs w:val="20"/>
          <w:lang w:eastAsia="ja-JP"/>
        </w:rPr>
        <w:t xml:space="preserve"> </w:t>
      </w:r>
      <w:r w:rsidR="002C5BD9" w:rsidRPr="001E7AD0">
        <w:rPr>
          <w:rFonts w:cs="Arial"/>
          <w:szCs w:val="20"/>
          <w:lang w:eastAsia="ja-JP"/>
        </w:rPr>
        <w:t>as “to keep in an existing state” with the mainstream. Changing states to a Case-1 timing configuration is consequently not a solution to maintaining the state of Case-6 timing configuration.</w:t>
      </w:r>
    </w:p>
    <w:p w14:paraId="43E7B2AA" w14:textId="1BE7E3D8" w:rsidR="006B57E7" w:rsidRPr="001E7AD0" w:rsidRDefault="006B57E7" w:rsidP="006B57E7">
      <w:pPr>
        <w:pStyle w:val="Observation"/>
      </w:pPr>
      <w:bookmarkStart w:id="27" w:name="_Toc87042497"/>
      <w:r w:rsidRPr="001E7AD0">
        <w:t xml:space="preserve">Changing </w:t>
      </w:r>
      <w:r w:rsidR="008E1404" w:rsidRPr="001E7AD0">
        <w:t>IAB-node configuration</w:t>
      </w:r>
      <w:r w:rsidRPr="001E7AD0">
        <w:t xml:space="preserve"> to a Case-1 timing configuration is not a solution to maintaining the state of Case-6 timing configuration.</w:t>
      </w:r>
      <w:bookmarkEnd w:id="27"/>
    </w:p>
    <w:p w14:paraId="65F2BCBF" w14:textId="41C3F9F7" w:rsidR="00C439B3" w:rsidRPr="001E7AD0" w:rsidRDefault="006F726B" w:rsidP="00FF09B0">
      <w:pPr>
        <w:jc w:val="both"/>
        <w:rPr>
          <w:rFonts w:cs="Arial"/>
          <w:szCs w:val="20"/>
          <w:lang w:eastAsia="ja-JP"/>
        </w:rPr>
      </w:pPr>
      <w:r w:rsidRPr="001E7AD0">
        <w:rPr>
          <w:rFonts w:cs="Arial"/>
          <w:szCs w:val="20"/>
          <w:lang w:eastAsia="ja-JP"/>
        </w:rPr>
        <w:t xml:space="preserve">We have shown above that current Rel-16 OTA synchronization specification does not support maintaining Case-6 timing mode. We have also shown that a </w:t>
      </w:r>
      <w:r w:rsidR="00D500A5" w:rsidRPr="001E7AD0">
        <w:rPr>
          <w:rFonts w:cs="Arial"/>
          <w:szCs w:val="20"/>
          <w:lang w:eastAsia="ja-JP"/>
        </w:rPr>
        <w:t>marginal</w:t>
      </w:r>
      <w:r w:rsidRPr="001E7AD0">
        <w:rPr>
          <w:rFonts w:cs="Arial"/>
          <w:szCs w:val="20"/>
          <w:lang w:eastAsia="ja-JP"/>
        </w:rPr>
        <w:t xml:space="preserve"> update of the Rel-16 OTA synchronization specification would allow to maintain Case 6 timing mode in an IAB-node</w:t>
      </w:r>
      <w:r w:rsidR="00FF3478" w:rsidRPr="001E7AD0">
        <w:rPr>
          <w:rFonts w:cs="Arial"/>
          <w:szCs w:val="20"/>
          <w:lang w:eastAsia="ja-JP"/>
        </w:rPr>
        <w:t>, honoring the agreement from RAN1 #103.</w:t>
      </w:r>
    </w:p>
    <w:p w14:paraId="286A2A07" w14:textId="0951E5DE" w:rsidR="002C5BD9" w:rsidRPr="001E7AD0" w:rsidRDefault="00FF3478" w:rsidP="00FF3478">
      <w:pPr>
        <w:pStyle w:val="Observation"/>
      </w:pPr>
      <w:bookmarkStart w:id="28" w:name="_Toc87042498"/>
      <w:r w:rsidRPr="001E7AD0">
        <w:t xml:space="preserve">Alt 1 in the RAN1#107-e agreement to </w:t>
      </w:r>
      <w:proofErr w:type="spellStart"/>
      <w:r w:rsidRPr="001E7AD0">
        <w:t>downselect</w:t>
      </w:r>
      <w:proofErr w:type="spellEnd"/>
      <w:r w:rsidRPr="001E7AD0">
        <w:t xml:space="preserve"> an OTA timing synchronization mechanism to enable/maintain Case 6 timing mode violates a p</w:t>
      </w:r>
      <w:r w:rsidR="006B57E7" w:rsidRPr="001E7AD0">
        <w:t>re</w:t>
      </w:r>
      <w:r w:rsidRPr="001E7AD0">
        <w:t>vious agreement.</w:t>
      </w:r>
      <w:bookmarkEnd w:id="28"/>
      <w:r w:rsidRPr="001E7AD0">
        <w:t xml:space="preserve"> </w:t>
      </w:r>
    </w:p>
    <w:p w14:paraId="5A055CD1" w14:textId="32A72540" w:rsidR="006B57E7" w:rsidRPr="001E7AD0" w:rsidRDefault="006B57E7" w:rsidP="009879A3">
      <w:pPr>
        <w:pStyle w:val="Proposal"/>
      </w:pPr>
      <w:bookmarkStart w:id="29" w:name="_Toc87042514"/>
      <w:r w:rsidRPr="001E7AD0">
        <w:t>Support Alt 2, updating the Rel-16 OTA synchronization specification to allow maintaining Case 6 timing mode in an IAB-node.</w:t>
      </w:r>
      <w:bookmarkEnd w:id="29"/>
    </w:p>
    <w:p w14:paraId="2E581B0A" w14:textId="47EF0582" w:rsidR="00C439B3" w:rsidRPr="001E7AD0" w:rsidRDefault="00FD69F0" w:rsidP="0021563C">
      <w:pPr>
        <w:pStyle w:val="Heading3"/>
        <w:rPr>
          <w:lang w:val="en-US"/>
        </w:rPr>
      </w:pPr>
      <w:r w:rsidRPr="001E7AD0">
        <w:rPr>
          <w:lang w:val="en-US"/>
        </w:rPr>
        <w:t>Enabling a Parent IAB-node to Receiv</w:t>
      </w:r>
      <w:r w:rsidR="002F1232" w:rsidRPr="001E7AD0">
        <w:rPr>
          <w:lang w:val="en-US"/>
        </w:rPr>
        <w:t>e</w:t>
      </w:r>
      <w:r w:rsidRPr="001E7AD0">
        <w:rPr>
          <w:lang w:val="en-US"/>
        </w:rPr>
        <w:t xml:space="preserve"> a Transmission with a Case-6 Timing</w:t>
      </w:r>
    </w:p>
    <w:p w14:paraId="4ADE9E4B" w14:textId="74CCD470" w:rsidR="0000029C" w:rsidRPr="001E7AD0" w:rsidRDefault="005D5F5A" w:rsidP="00FF09B0">
      <w:pPr>
        <w:jc w:val="both"/>
      </w:pPr>
      <w:r w:rsidRPr="001E7AD0">
        <w:t>I</w:t>
      </w:r>
      <w:r w:rsidR="0000029C" w:rsidRPr="001E7AD0">
        <w:t xml:space="preserve">n case of Case-7, by the IAB-node providing a Case-7 timing offset, both the IAB-node performing Case-7 timing as well as the child IAB-node have consistent information what transmission timing (at child node) to use and what reception timing (at the </w:t>
      </w:r>
      <w:r w:rsidR="00044BAA" w:rsidRPr="001E7AD0">
        <w:t>AIB-node</w:t>
      </w:r>
      <w:r w:rsidR="0000029C" w:rsidRPr="001E7AD0">
        <w:t>)</w:t>
      </w:r>
      <w:r w:rsidR="00044BAA" w:rsidRPr="001E7AD0">
        <w:t xml:space="preserve"> to expect.</w:t>
      </w:r>
    </w:p>
    <w:p w14:paraId="79C2B618" w14:textId="137A3494" w:rsidR="00AE4789" w:rsidRPr="001E7AD0" w:rsidRDefault="00044BAA" w:rsidP="00FF09B0">
      <w:pPr>
        <w:jc w:val="both"/>
      </w:pPr>
      <w:r w:rsidRPr="001E7AD0">
        <w:t>The</w:t>
      </w:r>
      <w:r w:rsidR="0000029C" w:rsidRPr="001E7AD0">
        <w:t>re has not been any discussion</w:t>
      </w:r>
      <w:r w:rsidRPr="001E7AD0">
        <w:t xml:space="preserve"> so far on how to</w:t>
      </w:r>
      <w:r w:rsidR="00A26CBC" w:rsidRPr="001E7AD0">
        <w:t xml:space="preserve"> initialize</w:t>
      </w:r>
      <w:r w:rsidRPr="001E7AD0">
        <w:t xml:space="preserve"> </w:t>
      </w:r>
      <w:r w:rsidR="00404510" w:rsidRPr="001E7AD0">
        <w:t>a parent IAB-node’s UL Rx for receiving</w:t>
      </w:r>
      <w:r w:rsidR="003D0DF0" w:rsidRPr="001E7AD0">
        <w:t xml:space="preserve"> </w:t>
      </w:r>
      <w:r w:rsidR="00404510" w:rsidRPr="001E7AD0">
        <w:t>from</w:t>
      </w:r>
      <w:r w:rsidRPr="001E7AD0">
        <w:t xml:space="preserve"> an IAB-node </w:t>
      </w:r>
      <w:r w:rsidR="00404510" w:rsidRPr="001E7AD0">
        <w:t xml:space="preserve">operating in </w:t>
      </w:r>
      <w:r w:rsidRPr="001E7AD0">
        <w:t xml:space="preserve">Case-6 timing. Even </w:t>
      </w:r>
      <w:r w:rsidR="00A273EA" w:rsidRPr="001E7AD0">
        <w:t>if</w:t>
      </w:r>
      <w:r w:rsidRPr="001E7AD0">
        <w:t xml:space="preserve"> RAN1 would agree on the parent to rely on tracking a reception timing</w:t>
      </w:r>
      <w:r w:rsidR="00831F35" w:rsidRPr="001E7AD0">
        <w:t>, there must be at least an initial successful reception.</w:t>
      </w:r>
    </w:p>
    <w:p w14:paraId="175F8100" w14:textId="45DA81E4" w:rsidR="00044BAA" w:rsidRPr="001E7AD0" w:rsidRDefault="00831F35" w:rsidP="0021563C">
      <w:pPr>
        <w:pStyle w:val="Observation"/>
      </w:pPr>
      <w:bookmarkStart w:id="30" w:name="_Toc87042499"/>
      <w:r w:rsidRPr="001E7AD0">
        <w:t>There has not been any discussion so far on how to</w:t>
      </w:r>
      <w:r w:rsidR="00A26CBC" w:rsidRPr="001E7AD0">
        <w:t xml:space="preserve"> initialize</w:t>
      </w:r>
      <w:r w:rsidRPr="001E7AD0">
        <w:t xml:space="preserve"> </w:t>
      </w:r>
      <w:r w:rsidR="00404510" w:rsidRPr="001E7AD0">
        <w:t>a parent IAB-node’s UL Rx for receiving</w:t>
      </w:r>
      <w:r w:rsidRPr="001E7AD0">
        <w:t xml:space="preserve"> </w:t>
      </w:r>
      <w:r w:rsidR="00404510" w:rsidRPr="001E7AD0">
        <w:t xml:space="preserve">from </w:t>
      </w:r>
      <w:r w:rsidRPr="001E7AD0">
        <w:t xml:space="preserve">an IAB-node </w:t>
      </w:r>
      <w:r w:rsidR="00404510" w:rsidRPr="001E7AD0">
        <w:t xml:space="preserve">operating in </w:t>
      </w:r>
      <w:r w:rsidRPr="001E7AD0">
        <w:t xml:space="preserve">Case-6 timing. There must be at least </w:t>
      </w:r>
      <w:r w:rsidR="00FB5CBE" w:rsidRPr="001E7AD0">
        <w:t>one</w:t>
      </w:r>
      <w:r w:rsidRPr="001E7AD0">
        <w:t xml:space="preserve"> initial successful reception.</w:t>
      </w:r>
      <w:bookmarkEnd w:id="30"/>
    </w:p>
    <w:p w14:paraId="59B28D45" w14:textId="060AACA8" w:rsidR="00044BAA" w:rsidRPr="001E7AD0" w:rsidRDefault="00044BAA" w:rsidP="00044BAA">
      <w:pPr>
        <w:jc w:val="both"/>
      </w:pPr>
      <w:r w:rsidRPr="001E7AD0">
        <w:t xml:space="preserve">In Case-6, since the UL Rx timing of parent IAB-node is not under timing control by the parent IAB-node, the question is how to </w:t>
      </w:r>
      <w:r w:rsidR="00A01869" w:rsidRPr="001E7AD0">
        <w:t>initialize reception at</w:t>
      </w:r>
      <w:r w:rsidRPr="001E7AD0">
        <w:t xml:space="preserve"> the parent IAB-node with proper timing. Practically, the parent IAB-node</w:t>
      </w:r>
      <w:r w:rsidR="00A01869" w:rsidRPr="001E7AD0">
        <w:t>’s</w:t>
      </w:r>
      <w:r w:rsidRPr="001E7AD0">
        <w:t xml:space="preserve"> UL Rx timing is delayed relative to the parent IAB-node</w:t>
      </w:r>
      <w:r w:rsidR="00A01869" w:rsidRPr="001E7AD0">
        <w:t>’s</w:t>
      </w:r>
      <w:r w:rsidRPr="001E7AD0">
        <w:t xml:space="preserve"> DL Tx timing</w:t>
      </w:r>
      <w:r w:rsidR="00831F35" w:rsidRPr="001E7AD0">
        <w:t xml:space="preserve"> by the parent BH link propagation delay, T_PN</w:t>
      </w:r>
      <w:r w:rsidRPr="001E7AD0">
        <w:t xml:space="preserve">. Thus, </w:t>
      </w:r>
      <w:r w:rsidR="00831F35" w:rsidRPr="001E7AD0">
        <w:t>it would be sufficient for</w:t>
      </w:r>
      <w:r w:rsidRPr="001E7AD0">
        <w:t xml:space="preserve"> the parent IAB-node to know the (estimated) T_PN. T_PN, TA (as set or measured at the IAB-node) and </w:t>
      </w:r>
      <w:proofErr w:type="spellStart"/>
      <w:r w:rsidRPr="001E7AD0">
        <w:t>T_delta</w:t>
      </w:r>
      <w:proofErr w:type="spellEnd"/>
      <w:r w:rsidRPr="001E7AD0">
        <w:t xml:space="preserve"> (as set or measured at the parent IAB-node) have an unambiguous relation</w:t>
      </w:r>
      <w:r w:rsidR="00A01869" w:rsidRPr="001E7AD0">
        <w:t xml:space="preserve"> in that k</w:t>
      </w:r>
      <w:r w:rsidRPr="001E7AD0">
        <w:t xml:space="preserve">nowing two of the </w:t>
      </w:r>
      <w:r w:rsidR="00A01869" w:rsidRPr="001E7AD0">
        <w:t>parameters</w:t>
      </w:r>
      <w:r w:rsidRPr="001E7AD0">
        <w:t>, determines the third. The parent IAB-node know</w:t>
      </w:r>
      <w:r w:rsidR="00A01869" w:rsidRPr="001E7AD0">
        <w:t>s</w:t>
      </w:r>
      <w:r w:rsidRPr="001E7AD0">
        <w:t xml:space="preserve"> </w:t>
      </w:r>
      <w:r w:rsidR="00FB5CBE" w:rsidRPr="001E7AD0">
        <w:t xml:space="preserve">neither </w:t>
      </w:r>
      <w:r w:rsidRPr="001E7AD0">
        <w:t xml:space="preserve">T_PN nor the IAB-node’s TA, </w:t>
      </w:r>
      <w:r w:rsidR="00A01869" w:rsidRPr="001E7AD0">
        <w:t>unless</w:t>
      </w:r>
      <w:r w:rsidRPr="001E7AD0">
        <w:t xml:space="preserve"> provided with additional information.</w:t>
      </w:r>
    </w:p>
    <w:p w14:paraId="31E287E1" w14:textId="65D14549" w:rsidR="00044BAA" w:rsidRPr="001E7AD0" w:rsidRDefault="00044BAA" w:rsidP="00044BAA">
      <w:pPr>
        <w:pStyle w:val="Observation"/>
      </w:pPr>
      <w:bookmarkStart w:id="31" w:name="_Toc87042500"/>
      <w:r w:rsidRPr="001E7AD0">
        <w:t>The parent IAB-node know</w:t>
      </w:r>
      <w:r w:rsidR="00A01869" w:rsidRPr="001E7AD0">
        <w:t>s neither</w:t>
      </w:r>
      <w:r w:rsidRPr="001E7AD0">
        <w:t xml:space="preserve"> T_PN nor the IAB-node’s TA, </w:t>
      </w:r>
      <w:r w:rsidR="00A01869" w:rsidRPr="001E7AD0">
        <w:t>unless</w:t>
      </w:r>
      <w:r w:rsidRPr="001E7AD0">
        <w:t xml:space="preserve"> provided with additional information.</w:t>
      </w:r>
      <w:bookmarkEnd w:id="31"/>
    </w:p>
    <w:p w14:paraId="5A838739" w14:textId="0CF58FB1" w:rsidR="00044BAA" w:rsidRPr="001E7AD0" w:rsidRDefault="00044BAA" w:rsidP="00044BAA">
      <w:pPr>
        <w:jc w:val="both"/>
      </w:pPr>
      <w:r w:rsidRPr="001E7AD0">
        <w:t xml:space="preserve">A parent node could be informed about the propagation delay between the parent IAB-node and an IAB-node </w:t>
      </w:r>
      <w:r w:rsidR="00BF2E4F" w:rsidRPr="001E7AD0">
        <w:t xml:space="preserve">to be </w:t>
      </w:r>
      <w:r w:rsidRPr="001E7AD0">
        <w:t>operating in Case-6 by the IAB-node providing</w:t>
      </w:r>
    </w:p>
    <w:p w14:paraId="02E7704D" w14:textId="77777777" w:rsidR="00044BAA" w:rsidRPr="001E7AD0" w:rsidRDefault="00044BAA" w:rsidP="00044BAA">
      <w:pPr>
        <w:pStyle w:val="ListParagraph"/>
        <w:numPr>
          <w:ilvl w:val="0"/>
          <w:numId w:val="34"/>
        </w:numPr>
        <w:jc w:val="both"/>
        <w:rPr>
          <w:rFonts w:ascii="Arial" w:hAnsi="Arial" w:cs="Arial"/>
          <w:sz w:val="20"/>
          <w:szCs w:val="20"/>
          <w:lang w:val="en-US"/>
        </w:rPr>
      </w:pPr>
      <w:r w:rsidRPr="001E7AD0">
        <w:rPr>
          <w:rFonts w:ascii="Arial" w:hAnsi="Arial" w:cs="Arial"/>
          <w:sz w:val="20"/>
          <w:szCs w:val="20"/>
          <w:lang w:val="en-US"/>
        </w:rPr>
        <w:t>its TA to the parent IAB-node</w:t>
      </w:r>
    </w:p>
    <w:p w14:paraId="03CBDE3E" w14:textId="77777777" w:rsidR="00044BAA" w:rsidRPr="001E7AD0" w:rsidRDefault="00044BAA" w:rsidP="00044BAA">
      <w:pPr>
        <w:pStyle w:val="ListParagraph"/>
        <w:numPr>
          <w:ilvl w:val="0"/>
          <w:numId w:val="34"/>
        </w:numPr>
        <w:spacing w:after="240"/>
        <w:jc w:val="both"/>
        <w:rPr>
          <w:rFonts w:ascii="Arial" w:hAnsi="Arial" w:cs="Arial"/>
          <w:sz w:val="20"/>
          <w:szCs w:val="20"/>
          <w:lang w:val="en-US"/>
        </w:rPr>
      </w:pPr>
      <w:r w:rsidRPr="001E7AD0">
        <w:rPr>
          <w:rFonts w:ascii="Arial" w:hAnsi="Arial" w:cs="Arial"/>
          <w:sz w:val="20"/>
          <w:szCs w:val="20"/>
          <w:lang w:val="en-US"/>
        </w:rPr>
        <w:t>its own estimate of T_PN (the parent BH link propagation delay) to the parent IAB-node</w:t>
      </w:r>
    </w:p>
    <w:p w14:paraId="3F19A0B4" w14:textId="6AB5EF87" w:rsidR="00044BAA" w:rsidRPr="001E7AD0" w:rsidRDefault="00044BAA" w:rsidP="00044BAA">
      <w:pPr>
        <w:pStyle w:val="Observation"/>
      </w:pPr>
      <w:bookmarkStart w:id="32" w:name="_Ref83998965"/>
      <w:bookmarkStart w:id="33" w:name="_Toc87042501"/>
      <w:r w:rsidRPr="001E7AD0">
        <w:t xml:space="preserve">For a parent IAB-node to know its child BH link propagation delay to an IAB-node </w:t>
      </w:r>
      <w:r w:rsidR="00BF2E4F" w:rsidRPr="001E7AD0">
        <w:t xml:space="preserve">to be </w:t>
      </w:r>
      <w:r w:rsidRPr="001E7AD0">
        <w:t xml:space="preserve">operating in Case-6, the IAB-node </w:t>
      </w:r>
      <w:r w:rsidR="00BF2E4F" w:rsidRPr="001E7AD0">
        <w:t>can</w:t>
      </w:r>
      <w:r w:rsidRPr="001E7AD0">
        <w:t xml:space="preserve"> provide either its TA or its estimate of its parent BH link propagation delay.</w:t>
      </w:r>
      <w:bookmarkEnd w:id="32"/>
      <w:bookmarkEnd w:id="33"/>
    </w:p>
    <w:p w14:paraId="77D661D5" w14:textId="4F1F058C" w:rsidR="00F13D84" w:rsidRPr="001E7AD0" w:rsidRDefault="0012434F" w:rsidP="00F13D84">
      <w:pPr>
        <w:pStyle w:val="Observation"/>
        <w:numPr>
          <w:ilvl w:val="0"/>
          <w:numId w:val="0"/>
        </w:numPr>
        <w:rPr>
          <w:b w:val="0"/>
          <w:bCs w:val="0"/>
        </w:rPr>
      </w:pPr>
      <w:bookmarkStart w:id="34" w:name="_Toc87042502"/>
      <w:r w:rsidRPr="001E7AD0">
        <w:rPr>
          <w:b w:val="0"/>
          <w:bCs w:val="0"/>
        </w:rPr>
        <w:lastRenderedPageBreak/>
        <w:t>As an a</w:t>
      </w:r>
      <w:r w:rsidR="00F13D84" w:rsidRPr="001E7AD0">
        <w:rPr>
          <w:b w:val="0"/>
          <w:bCs w:val="0"/>
        </w:rPr>
        <w:t xml:space="preserve">lternative to signaling TA or T_PN to the parent node, the IAB-node could simply indicate to its parent node by how much the IAB-node would change its timing from its current UL Tx timing to the target UL Tx timing. </w:t>
      </w:r>
      <w:r w:rsidRPr="001E7AD0">
        <w:rPr>
          <w:b w:val="0"/>
          <w:bCs w:val="0"/>
        </w:rPr>
        <w:t xml:space="preserve">The parent node can then know by how much a future </w:t>
      </w:r>
      <w:r w:rsidR="00BF2E4F" w:rsidRPr="001E7AD0">
        <w:rPr>
          <w:b w:val="0"/>
          <w:bCs w:val="0"/>
        </w:rPr>
        <w:t xml:space="preserve">UL </w:t>
      </w:r>
      <w:r w:rsidRPr="001E7AD0">
        <w:rPr>
          <w:b w:val="0"/>
          <w:bCs w:val="0"/>
        </w:rPr>
        <w:t xml:space="preserve">Rx timing </w:t>
      </w:r>
      <w:r w:rsidR="00BF2E4F" w:rsidRPr="001E7AD0">
        <w:rPr>
          <w:b w:val="0"/>
          <w:bCs w:val="0"/>
        </w:rPr>
        <w:t>during Case-6 operation</w:t>
      </w:r>
      <w:r w:rsidRPr="001E7AD0">
        <w:rPr>
          <w:b w:val="0"/>
          <w:bCs w:val="0"/>
        </w:rPr>
        <w:t xml:space="preserve"> will differ from the parent node’s current one.</w:t>
      </w:r>
      <w:bookmarkEnd w:id="34"/>
    </w:p>
    <w:p w14:paraId="74FEB79A" w14:textId="49B8FB91" w:rsidR="00AA3057" w:rsidRPr="001E7AD0" w:rsidRDefault="00F208FC" w:rsidP="001853DE">
      <w:pPr>
        <w:pStyle w:val="Observation"/>
        <w:rPr>
          <w:iCs/>
        </w:rPr>
      </w:pPr>
      <w:bookmarkStart w:id="35" w:name="_Ref87019807"/>
      <w:bookmarkStart w:id="36" w:name="_Toc87042503"/>
      <w:r w:rsidRPr="001E7AD0">
        <w:t>One of the following three alternatives can be s</w:t>
      </w:r>
      <w:r w:rsidR="007E1102" w:rsidRPr="001E7AD0">
        <w:t>elect</w:t>
      </w:r>
      <w:r w:rsidRPr="001E7AD0">
        <w:t>ed</w:t>
      </w:r>
      <w:r w:rsidR="007E1102" w:rsidRPr="001E7AD0">
        <w:t xml:space="preserve"> to initialize </w:t>
      </w:r>
      <w:r w:rsidR="00044BAA" w:rsidRPr="001E7AD0">
        <w:t>a parent IAB-node</w:t>
      </w:r>
      <w:r w:rsidR="007E1102" w:rsidRPr="001E7AD0">
        <w:t xml:space="preserve">’s </w:t>
      </w:r>
      <w:r w:rsidR="00F13D84" w:rsidRPr="001E7AD0">
        <w:t xml:space="preserve">UL Rx timing for </w:t>
      </w:r>
      <w:r w:rsidR="007E1102" w:rsidRPr="001E7AD0">
        <w:t xml:space="preserve">receiving </w:t>
      </w:r>
      <w:r w:rsidR="00F13D84" w:rsidRPr="001E7AD0">
        <w:t>from a</w:t>
      </w:r>
      <w:r w:rsidR="007E1102" w:rsidRPr="001E7AD0">
        <w:t>n IAB-node operating in</w:t>
      </w:r>
      <w:r w:rsidR="00F13D84" w:rsidRPr="001E7AD0">
        <w:t xml:space="preserve"> Case-6 </w:t>
      </w:r>
      <w:r w:rsidR="007E1102" w:rsidRPr="001E7AD0">
        <w:t>timing</w:t>
      </w:r>
      <w:r w:rsidR="0023259B" w:rsidRPr="001E7AD0">
        <w:t>:</w:t>
      </w:r>
      <w:bookmarkEnd w:id="36"/>
    </w:p>
    <w:p w14:paraId="5537025B" w14:textId="32536C35" w:rsidR="00044BAA" w:rsidRPr="001E7AD0" w:rsidRDefault="0023259B" w:rsidP="001E7AD0">
      <w:pPr>
        <w:pStyle w:val="Observation"/>
        <w:numPr>
          <w:ilvl w:val="0"/>
          <w:numId w:val="0"/>
        </w:numPr>
        <w:ind w:left="1701"/>
        <w:rPr>
          <w:iCs/>
        </w:rPr>
      </w:pPr>
      <w:bookmarkStart w:id="37" w:name="_Toc87042504"/>
      <w:r w:rsidRPr="001E7AD0">
        <w:t>The IAB-node indicates to its parent node</w:t>
      </w:r>
      <w:r w:rsidR="00F13D84" w:rsidRPr="001E7AD0">
        <w:br/>
      </w:r>
      <w:r w:rsidR="001E5B96" w:rsidRPr="001E7AD0">
        <w:t>Alt</w:t>
      </w:r>
      <w:r w:rsidR="00AA3057" w:rsidRPr="001E7AD0">
        <w:t xml:space="preserve">. </w:t>
      </w:r>
      <w:r w:rsidR="001E5B96" w:rsidRPr="001E7AD0">
        <w:t>1:</w:t>
      </w:r>
      <w:r w:rsidR="00F13D84" w:rsidRPr="001E7AD0">
        <w:t xml:space="preserve"> </w:t>
      </w:r>
      <w:r w:rsidRPr="001E7AD0">
        <w:t xml:space="preserve">its </w:t>
      </w:r>
      <w:r w:rsidR="00044BAA" w:rsidRPr="001E7AD0">
        <w:t>TA</w:t>
      </w:r>
      <w:r w:rsidR="0012434F" w:rsidRPr="001E7AD0">
        <w:t>, or</w:t>
      </w:r>
      <w:r w:rsidR="0012434F" w:rsidRPr="001E7AD0">
        <w:br/>
      </w:r>
      <w:r w:rsidR="001E5B96" w:rsidRPr="001E7AD0">
        <w:t>Alt</w:t>
      </w:r>
      <w:r w:rsidR="00AA3057" w:rsidRPr="001E7AD0">
        <w:t xml:space="preserve">. </w:t>
      </w:r>
      <w:r w:rsidR="001E5B96" w:rsidRPr="001E7AD0">
        <w:t xml:space="preserve">2: </w:t>
      </w:r>
      <w:r w:rsidR="00044BAA" w:rsidRPr="001E7AD0">
        <w:t>its estimate of its parent BH link propagation delay</w:t>
      </w:r>
      <w:r w:rsidR="0012434F" w:rsidRPr="001E7AD0">
        <w:t>, or</w:t>
      </w:r>
      <w:r w:rsidR="0012434F" w:rsidRPr="001E7AD0">
        <w:br/>
      </w:r>
      <w:r w:rsidR="001E5B96" w:rsidRPr="001E7AD0">
        <w:t>Alt</w:t>
      </w:r>
      <w:r w:rsidR="00AA3057" w:rsidRPr="001E7AD0">
        <w:t xml:space="preserve">. </w:t>
      </w:r>
      <w:r w:rsidR="001E5B96" w:rsidRPr="001E7AD0">
        <w:t>3:</w:t>
      </w:r>
      <w:r w:rsidR="0012434F" w:rsidRPr="001E7AD0">
        <w:t xml:space="preserve"> by how much it will change its UL Tx timing from its current timing to the target timing</w:t>
      </w:r>
      <w:r w:rsidRPr="001E7AD0">
        <w:t>.</w:t>
      </w:r>
      <w:bookmarkEnd w:id="35"/>
      <w:bookmarkEnd w:id="37"/>
    </w:p>
    <w:p w14:paraId="64B4E370" w14:textId="456B0991" w:rsidR="001E5B96" w:rsidRPr="001E7AD0" w:rsidRDefault="004269B0" w:rsidP="001E5B96">
      <w:pPr>
        <w:pStyle w:val="Proposal"/>
        <w:rPr>
          <w:iCs/>
        </w:rPr>
      </w:pPr>
      <w:bookmarkStart w:id="38" w:name="_Toc87042515"/>
      <w:r w:rsidRPr="001E7AD0">
        <w:rPr>
          <w:iCs/>
        </w:rPr>
        <w:t>Select</w:t>
      </w:r>
      <w:r w:rsidR="001E5B96" w:rsidRPr="001E7AD0">
        <w:rPr>
          <w:iCs/>
        </w:rPr>
        <w:t xml:space="preserve"> Alt</w:t>
      </w:r>
      <w:r w:rsidR="00AA3057" w:rsidRPr="001E7AD0">
        <w:rPr>
          <w:iCs/>
        </w:rPr>
        <w:t xml:space="preserve">. </w:t>
      </w:r>
      <w:r w:rsidR="001E5B96" w:rsidRPr="001E7AD0">
        <w:rPr>
          <w:iCs/>
        </w:rPr>
        <w:t xml:space="preserve">3: </w:t>
      </w:r>
      <w:r w:rsidR="001E5B96" w:rsidRPr="001E7AD0">
        <w:t>For a parent IAB-node to initia</w:t>
      </w:r>
      <w:r w:rsidRPr="001E7AD0">
        <w:t xml:space="preserve">lize its UL Rx timing for receiving from an IAB-node operating in Case-6 timing, the IAB-node indicates to its parent node </w:t>
      </w:r>
      <w:r w:rsidR="001E5B96" w:rsidRPr="001E7AD0">
        <w:t>by how much it will change its UL Tx timing from its current timing to the target timing.</w:t>
      </w:r>
      <w:bookmarkEnd w:id="38"/>
    </w:p>
    <w:p w14:paraId="3A6239F8" w14:textId="00C5F956" w:rsidR="00044BAA" w:rsidRPr="001E7AD0" w:rsidRDefault="00044BAA" w:rsidP="00044BAA">
      <w:pPr>
        <w:jc w:val="both"/>
        <w:rPr>
          <w:iCs/>
        </w:rPr>
      </w:pPr>
      <w:r w:rsidRPr="001E7AD0">
        <w:rPr>
          <w:iCs/>
        </w:rPr>
        <w:t xml:space="preserve">It is agreed that </w:t>
      </w:r>
      <w:r w:rsidRPr="001E7AD0">
        <w:rPr>
          <w:rFonts w:eastAsia="Times New Roman" w:cs="Arial"/>
          <w:i/>
          <w:iCs/>
          <w:szCs w:val="20"/>
          <w:lang w:eastAsia="en-GB"/>
        </w:rPr>
        <w:t>an IAB-node is explicitly indicated by the parent node when Case 6 timing is performed at the IAB-node at least for specific time resources</w:t>
      </w:r>
      <w:r w:rsidRPr="001E7AD0">
        <w:rPr>
          <w:rFonts w:eastAsia="Times New Roman" w:cs="Arial"/>
          <w:szCs w:val="20"/>
          <w:lang w:eastAsia="en-GB"/>
        </w:rPr>
        <w:t>. We think it should also be possible for an IAB-node to request from its parent IAB-node to operate in Case-6. In addition, whether explicitly indicated by the parent IAB-node or requested by the IAB-node, an ACK should be provided</w:t>
      </w:r>
      <w:r w:rsidR="00D1521A" w:rsidRPr="001E7AD0">
        <w:rPr>
          <w:rFonts w:eastAsia="Times New Roman" w:cs="Arial"/>
          <w:szCs w:val="20"/>
          <w:lang w:eastAsia="en-GB"/>
        </w:rPr>
        <w:t xml:space="preserve"> (which </w:t>
      </w:r>
      <w:r w:rsidR="008668C9" w:rsidRPr="001E7AD0">
        <w:rPr>
          <w:rFonts w:eastAsia="Times New Roman" w:cs="Arial"/>
          <w:szCs w:val="20"/>
          <w:lang w:eastAsia="en-GB"/>
        </w:rPr>
        <w:t>w</w:t>
      </w:r>
      <w:r w:rsidR="00D1521A" w:rsidRPr="001E7AD0">
        <w:rPr>
          <w:rFonts w:eastAsia="Times New Roman" w:cs="Arial"/>
          <w:szCs w:val="20"/>
          <w:lang w:eastAsia="en-GB"/>
        </w:rPr>
        <w:t>ould also act as explicit indication)</w:t>
      </w:r>
      <w:r w:rsidRPr="001E7AD0">
        <w:rPr>
          <w:rFonts w:eastAsia="Times New Roman" w:cs="Arial"/>
          <w:szCs w:val="20"/>
          <w:lang w:eastAsia="en-GB"/>
        </w:rPr>
        <w:t>, since the timing configurations are too different and important that they should not be confused due to improper coordination. The explicit indication by the parent node when Case 6 timing is performed</w:t>
      </w:r>
      <w:r w:rsidRPr="001E7AD0">
        <w:t xml:space="preserve"> </w:t>
      </w:r>
      <w:r w:rsidRPr="001E7AD0">
        <w:rPr>
          <w:rFonts w:eastAsia="Times New Roman" w:cs="Arial"/>
          <w:szCs w:val="20"/>
          <w:lang w:eastAsia="en-GB"/>
        </w:rPr>
        <w:t>at the IAB-node should be acknowledged by the IAB-node.</w:t>
      </w:r>
    </w:p>
    <w:p w14:paraId="6556C1EC" w14:textId="60704985" w:rsidR="00044BAA" w:rsidRPr="001E7AD0" w:rsidRDefault="00044BAA" w:rsidP="00044BAA">
      <w:pPr>
        <w:pStyle w:val="Proposal"/>
      </w:pPr>
      <w:bookmarkStart w:id="39" w:name="_Toc87042516"/>
      <w:r w:rsidRPr="001E7AD0">
        <w:t>The explicit indication by the parent node when Case</w:t>
      </w:r>
      <w:r w:rsidR="00A6606A" w:rsidRPr="001E7AD0">
        <w:t>-</w:t>
      </w:r>
      <w:r w:rsidRPr="001E7AD0">
        <w:t>6 timing is performed at the IAB-node should be acknowledged by the IAB-node.</w:t>
      </w:r>
      <w:bookmarkEnd w:id="39"/>
    </w:p>
    <w:p w14:paraId="4C5A6AFA" w14:textId="5F11D77E" w:rsidR="00044BAA" w:rsidRPr="001E7AD0" w:rsidRDefault="00044BAA" w:rsidP="00044BAA">
      <w:pPr>
        <w:jc w:val="both"/>
      </w:pPr>
      <w:r w:rsidRPr="001E7AD0">
        <w:t>As we discussed above (see</w:t>
      </w:r>
      <w:r w:rsidR="00C93938" w:rsidRPr="001E7AD0">
        <w:t xml:space="preserve"> </w:t>
      </w:r>
      <w:r w:rsidR="00C93938" w:rsidRPr="001E7AD0">
        <w:fldChar w:fldCharType="begin"/>
      </w:r>
      <w:r w:rsidR="00C93938" w:rsidRPr="001E7AD0">
        <w:instrText xml:space="preserve"> REF _Ref87019807 \w \h </w:instrText>
      </w:r>
      <w:r w:rsidR="00C93938" w:rsidRPr="001E7AD0">
        <w:fldChar w:fldCharType="separate"/>
      </w:r>
      <w:r w:rsidR="001853DE">
        <w:t>Observation 24</w:t>
      </w:r>
      <w:r w:rsidR="00C93938" w:rsidRPr="001E7AD0">
        <w:fldChar w:fldCharType="end"/>
      </w:r>
      <w:r w:rsidRPr="001E7AD0">
        <w:t xml:space="preserve">), the IAB-node operating in or </w:t>
      </w:r>
      <w:r w:rsidR="00A6606A" w:rsidRPr="001E7AD0">
        <w:t xml:space="preserve">about </w:t>
      </w:r>
      <w:r w:rsidRPr="001E7AD0">
        <w:t xml:space="preserve">to start operating in Case-6 timing needs to provide </w:t>
      </w:r>
      <w:r w:rsidR="00C93938" w:rsidRPr="001E7AD0">
        <w:t>some information to the parent node</w:t>
      </w:r>
      <w:r w:rsidRPr="001E7AD0">
        <w:t>. Any acknowledgement by the Case-6 IAB-node could be complemented, or could be substituted by, e.g., TA signaling to the parent IAB-node.</w:t>
      </w:r>
    </w:p>
    <w:p w14:paraId="43C6D668" w14:textId="55157D1C" w:rsidR="00044BAA" w:rsidRPr="001E7AD0" w:rsidRDefault="00044BAA" w:rsidP="00044BAA">
      <w:pPr>
        <w:pStyle w:val="Proposal"/>
      </w:pPr>
      <w:bookmarkStart w:id="40" w:name="_Toc87042517"/>
      <w:r w:rsidRPr="001E7AD0">
        <w:t>The signaling of</w:t>
      </w:r>
      <w:r w:rsidR="00FA0EAC" w:rsidRPr="001E7AD0">
        <w:t xml:space="preserve"> the parent node Rx timing initialization value for Case-</w:t>
      </w:r>
      <w:proofErr w:type="gramStart"/>
      <w:r w:rsidR="00FA0EAC" w:rsidRPr="001E7AD0">
        <w:t>6</w:t>
      </w:r>
      <w:r w:rsidRPr="001E7AD0">
        <w:t xml:space="preserve"> </w:t>
      </w:r>
      <w:r w:rsidR="00C93938" w:rsidRPr="001E7AD0">
        <w:t xml:space="preserve"> </w:t>
      </w:r>
      <w:r w:rsidRPr="001E7AD0">
        <w:t>by</w:t>
      </w:r>
      <w:proofErr w:type="gramEnd"/>
      <w:r w:rsidRPr="001E7AD0">
        <w:t xml:space="preserve"> an IAB-node, after it received an explicit indication by the parent node to operate in Case-6, is treated as an acknowledgement.</w:t>
      </w:r>
      <w:bookmarkEnd w:id="40"/>
    </w:p>
    <w:p w14:paraId="3E1C289A" w14:textId="77777777" w:rsidR="00044BAA" w:rsidRPr="001E7AD0" w:rsidRDefault="00044BAA" w:rsidP="00044BAA">
      <w:pPr>
        <w:jc w:val="both"/>
      </w:pPr>
      <w:r w:rsidRPr="001E7AD0">
        <w:t>In a similar way, if an IAB-node wants to request from its parent IAB-node that it can operate in Case-6, the IAB-node could simply signal, e.g., its TA to the parent IAB-node. Since, so far, there is no other purpose for the IAB-node to signal its TA or its estimate of propagation delay to the parent, it is unique enough to act as a request itself.</w:t>
      </w:r>
    </w:p>
    <w:p w14:paraId="594E6719" w14:textId="6CD464A3" w:rsidR="00044BAA" w:rsidRPr="001E7AD0" w:rsidRDefault="00044BAA" w:rsidP="00044BAA">
      <w:pPr>
        <w:pStyle w:val="Proposal"/>
      </w:pPr>
      <w:bookmarkStart w:id="41" w:name="_Toc87042518"/>
      <w:r w:rsidRPr="001E7AD0">
        <w:t xml:space="preserve">The signaling of </w:t>
      </w:r>
      <w:r w:rsidR="0021563C" w:rsidRPr="001E7AD0">
        <w:t>TA, propagation delay or timing offset</w:t>
      </w:r>
      <w:r w:rsidRPr="001E7AD0">
        <w:t xml:space="preserve"> by an IAB-node to the parent IAB-node is a request by the IAB-node to the parent IAB-node to operate in Case-6.</w:t>
      </w:r>
      <w:bookmarkEnd w:id="41"/>
    </w:p>
    <w:p w14:paraId="1D390F03" w14:textId="4D2F3EFC" w:rsidR="001E5B96" w:rsidRPr="001E7AD0" w:rsidRDefault="001E5B96" w:rsidP="001E5B96">
      <w:pPr>
        <w:pStyle w:val="Proposal"/>
        <w:numPr>
          <w:ilvl w:val="0"/>
          <w:numId w:val="0"/>
        </w:numPr>
        <w:rPr>
          <w:b w:val="0"/>
          <w:bCs w:val="0"/>
        </w:rPr>
      </w:pPr>
      <w:bookmarkStart w:id="42" w:name="_Toc87042519"/>
      <w:r w:rsidRPr="001E7AD0">
        <w:rPr>
          <w:b w:val="0"/>
          <w:bCs w:val="0"/>
        </w:rPr>
        <w:t xml:space="preserve">After performing Case-6 timing for some time, an IAB might need to switch from Case-6 to Case-1. </w:t>
      </w:r>
      <w:r w:rsidR="00BE7A5C" w:rsidRPr="001E7AD0">
        <w:rPr>
          <w:b w:val="0"/>
          <w:bCs w:val="0"/>
        </w:rPr>
        <w:t>We propose that the same mechanism is used for switching timing from Case-6 to Case-1 as we proposed for switching from Case-1 to Case-6.</w:t>
      </w:r>
      <w:r w:rsidR="00F40519" w:rsidRPr="001E7AD0">
        <w:rPr>
          <w:b w:val="0"/>
          <w:bCs w:val="0"/>
        </w:rPr>
        <w:t xml:space="preserve"> After that, the standard TA commands can be used for finetuning.</w:t>
      </w:r>
      <w:bookmarkEnd w:id="42"/>
    </w:p>
    <w:p w14:paraId="2075C29F" w14:textId="1ABA26CF" w:rsidR="001E5B96" w:rsidRPr="001E7AD0" w:rsidRDefault="00BE7A5C" w:rsidP="00EF324A">
      <w:pPr>
        <w:pStyle w:val="Proposal"/>
        <w:rPr>
          <w:b w:val="0"/>
          <w:bCs w:val="0"/>
        </w:rPr>
      </w:pPr>
      <w:bookmarkStart w:id="43" w:name="_Toc87042520"/>
      <w:r w:rsidRPr="001E7AD0">
        <w:t>For an IAB-node to initially set its UL Tx timing for transmission</w:t>
      </w:r>
      <w:r w:rsidR="00F40519" w:rsidRPr="001E7AD0">
        <w:t>s</w:t>
      </w:r>
      <w:r w:rsidRPr="001E7AD0">
        <w:t xml:space="preserve"> after switching from a Case-6 operating to Case-1, the parent IAB-node indicates by how much it will change its UL Rx timing from its current timing to the target timing.</w:t>
      </w:r>
      <w:bookmarkEnd w:id="43"/>
    </w:p>
    <w:p w14:paraId="48741332" w14:textId="77777777" w:rsidR="0045130A" w:rsidRPr="001E7AD0" w:rsidRDefault="0045130A" w:rsidP="0021563C">
      <w:pPr>
        <w:pStyle w:val="Heading2"/>
        <w:rPr>
          <w:lang w:val="en-US"/>
        </w:rPr>
      </w:pPr>
      <w:r w:rsidRPr="001E7AD0">
        <w:rPr>
          <w:lang w:val="en-US"/>
        </w:rPr>
        <w:t>Case-7 Timing</w:t>
      </w:r>
    </w:p>
    <w:p w14:paraId="7E71842D" w14:textId="150C5382" w:rsidR="00B57B0D" w:rsidRPr="001E7AD0" w:rsidRDefault="00DA67B4" w:rsidP="00FF09B0">
      <w:pPr>
        <w:jc w:val="both"/>
      </w:pPr>
      <w:r w:rsidRPr="001E7AD0">
        <w:t xml:space="preserve">During the last meeting it </w:t>
      </w:r>
      <w:r w:rsidR="00053E67" w:rsidRPr="001E7AD0">
        <w:t>was</w:t>
      </w:r>
      <w:r w:rsidRPr="001E7AD0">
        <w:t xml:space="preserve"> agree</w:t>
      </w:r>
      <w:r w:rsidR="00053E67" w:rsidRPr="001E7AD0">
        <w:t>d</w:t>
      </w:r>
      <w:r w:rsidRPr="001E7AD0">
        <w:t xml:space="preserve"> on the signaling type and granularity of the Case-7 timing offset.</w:t>
      </w:r>
      <w:r w:rsidR="009D2B61" w:rsidRPr="001E7AD0">
        <w:t xml:space="preserve"> So far, no agreement </w:t>
      </w:r>
      <w:r w:rsidR="00053E67" w:rsidRPr="001E7AD0">
        <w:t>ha</w:t>
      </w:r>
      <w:r w:rsidR="009E509A" w:rsidRPr="001E7AD0">
        <w:t>s</w:t>
      </w:r>
      <w:r w:rsidR="009D2B61" w:rsidRPr="001E7AD0">
        <w:t xml:space="preserve"> be</w:t>
      </w:r>
      <w:r w:rsidR="00053E67" w:rsidRPr="001E7AD0">
        <w:t>en</w:t>
      </w:r>
      <w:r w:rsidR="009D2B61" w:rsidRPr="001E7AD0">
        <w:t xml:space="preserve"> made on the range of the Case-7 timing offset. </w:t>
      </w:r>
    </w:p>
    <w:p w14:paraId="5EEEF2C1" w14:textId="68A80E7C" w:rsidR="009D2B61" w:rsidRPr="001E7AD0" w:rsidRDefault="009D2B61" w:rsidP="00FF09B0">
      <w:pPr>
        <w:jc w:val="both"/>
      </w:pPr>
      <w:r w:rsidRPr="001E7AD0">
        <w:t xml:space="preserve">We think that at least 11 bits for FR2 are needed to sufficiently time adjust the child IAB-MT UL Tx timing of and IAB-node operating in Case-7, </w:t>
      </w:r>
      <w:proofErr w:type="gramStart"/>
      <w:r w:rsidRPr="001E7AD0">
        <w:t>in order to</w:t>
      </w:r>
      <w:proofErr w:type="gramEnd"/>
      <w:r w:rsidRPr="001E7AD0">
        <w:t xml:space="preserve"> achieve a minimum number of additional symbol shifts and therefore a minimum </w:t>
      </w:r>
      <w:r w:rsidR="0026318A" w:rsidRPr="001E7AD0">
        <w:t xml:space="preserve">number </w:t>
      </w:r>
      <w:r w:rsidRPr="001E7AD0">
        <w:t xml:space="preserve">of lost symbols </w:t>
      </w:r>
      <w:r w:rsidR="003B69D0" w:rsidRPr="001E7AD0">
        <w:fldChar w:fldCharType="begin"/>
      </w:r>
      <w:r w:rsidR="003B69D0" w:rsidRPr="001E7AD0">
        <w:instrText xml:space="preserve"> REF _Ref79015443 \w \h </w:instrText>
      </w:r>
      <w:r w:rsidR="003B69D0" w:rsidRPr="001E7AD0">
        <w:fldChar w:fldCharType="separate"/>
      </w:r>
      <w:r w:rsidR="001853DE">
        <w:t>[9]</w:t>
      </w:r>
      <w:r w:rsidR="003B69D0" w:rsidRPr="001E7AD0">
        <w:fldChar w:fldCharType="end"/>
      </w:r>
      <w:r w:rsidRPr="001E7AD0">
        <w:t>.</w:t>
      </w:r>
      <w:r w:rsidR="00536B6C" w:rsidRPr="001E7AD0">
        <w:t xml:space="preserve"> A safe assumption would be 12 bits.</w:t>
      </w:r>
    </w:p>
    <w:p w14:paraId="67DD42A5" w14:textId="1A31EFF7" w:rsidR="004C3446" w:rsidRPr="001E7AD0" w:rsidRDefault="004C3446" w:rsidP="00FF09B0">
      <w:pPr>
        <w:jc w:val="both"/>
      </w:pPr>
      <w:r w:rsidRPr="001E7AD0">
        <w:lastRenderedPageBreak/>
        <w:t xml:space="preserve">The Case-7 timing offset serves a similar purpose as </w:t>
      </w:r>
      <w:proofErr w:type="spellStart"/>
      <w:r w:rsidRPr="001E7AD0">
        <w:t>T_delta</w:t>
      </w:r>
      <w:proofErr w:type="spellEnd"/>
      <w:r w:rsidRPr="001E7AD0">
        <w:t xml:space="preserve"> and we do not see a problem why this offset cannot have the same principal signaling format as </w:t>
      </w:r>
      <w:proofErr w:type="spellStart"/>
      <w:r w:rsidRPr="001E7AD0">
        <w:t>T_delta</w:t>
      </w:r>
      <w:proofErr w:type="spellEnd"/>
      <w:r w:rsidRPr="001E7AD0">
        <w:t>.</w:t>
      </w:r>
    </w:p>
    <w:p w14:paraId="08CF8437" w14:textId="7A8154E4" w:rsidR="004C3446" w:rsidRPr="001E7AD0" w:rsidRDefault="00536B6C" w:rsidP="00BA40BA">
      <w:pPr>
        <w:pStyle w:val="Proposal"/>
      </w:pPr>
      <w:bookmarkStart w:id="44" w:name="_Toc87042521"/>
      <w:r w:rsidRPr="001E7AD0">
        <w:t xml:space="preserve">The Case-7 timing offset has the same format as </w:t>
      </w:r>
      <w:proofErr w:type="spellStart"/>
      <w:r w:rsidRPr="001E7AD0">
        <w:t>T_delta</w:t>
      </w:r>
      <w:proofErr w:type="spellEnd"/>
      <w:r w:rsidRPr="001E7AD0">
        <w:t>. It is FFS the number of required bits.</w:t>
      </w:r>
      <w:bookmarkEnd w:id="44"/>
    </w:p>
    <w:p w14:paraId="0E90CA58" w14:textId="5D1C3762" w:rsidR="004C3446" w:rsidRPr="001E7AD0" w:rsidRDefault="004C3446" w:rsidP="00FF09B0">
      <w:pPr>
        <w:jc w:val="both"/>
      </w:pPr>
      <w:r w:rsidRPr="001E7AD0">
        <w:t xml:space="preserve">Considering RAN1 #107-e will be the last meeting to discuss this matter and considering there has not been much discussion so far on the range, we can agree on asking RAN4 for </w:t>
      </w:r>
      <w:r w:rsidR="00536B6C" w:rsidRPr="001E7AD0">
        <w:t>guidance on the number of required bits.</w:t>
      </w:r>
    </w:p>
    <w:p w14:paraId="260E57EA" w14:textId="5F4BC1EE" w:rsidR="0053535A" w:rsidRPr="001E7AD0" w:rsidRDefault="00A60C8D" w:rsidP="009879A3">
      <w:pPr>
        <w:pStyle w:val="Proposal"/>
        <w:rPr>
          <w:lang w:eastAsia="ja-JP"/>
        </w:rPr>
      </w:pPr>
      <w:bookmarkStart w:id="45" w:name="_Toc87042522"/>
      <w:r w:rsidRPr="001E7AD0">
        <w:t xml:space="preserve">Send LS to RAN4, asking RAN4 to specify the range of </w:t>
      </w:r>
      <w:r w:rsidR="006C6ED9" w:rsidRPr="001E7AD0">
        <w:t>the Case-7 timing offset.</w:t>
      </w:r>
      <w:bookmarkEnd w:id="45"/>
    </w:p>
    <w:p w14:paraId="58BE35AC" w14:textId="213B05D5" w:rsidR="0053535A" w:rsidRPr="001E7AD0" w:rsidRDefault="00C60B65" w:rsidP="00FF09B0">
      <w:pPr>
        <w:pStyle w:val="Heading1"/>
        <w:jc w:val="both"/>
        <w:rPr>
          <w:lang w:val="en-US"/>
        </w:rPr>
      </w:pPr>
      <w:r w:rsidRPr="001E7AD0">
        <w:rPr>
          <w:lang w:val="en-US"/>
        </w:rPr>
        <w:t>Power control</w:t>
      </w:r>
    </w:p>
    <w:p w14:paraId="2A1FF9F7" w14:textId="38DE3304" w:rsidR="00DC4AF4" w:rsidRPr="001E7AD0" w:rsidRDefault="00DC4AF4" w:rsidP="00DC4AF4">
      <w:pPr>
        <w:jc w:val="both"/>
      </w:pPr>
      <w:r w:rsidRPr="001E7AD0">
        <w:t xml:space="preserve">There are some common denominators that are valid for both UL </w:t>
      </w:r>
      <w:r w:rsidR="00C21564" w:rsidRPr="001E7AD0">
        <w:t xml:space="preserve">PSD range indication </w:t>
      </w:r>
      <w:r w:rsidRPr="001E7AD0">
        <w:t xml:space="preserve">and DL TX power control. Instead of </w:t>
      </w:r>
      <w:r w:rsidR="00C21564" w:rsidRPr="001E7AD0">
        <w:t>repeating</w:t>
      </w:r>
      <w:r w:rsidRPr="001E7AD0">
        <w:t xml:space="preserve"> them in each section below, we address them here for </w:t>
      </w:r>
      <w:r w:rsidR="00C21564" w:rsidRPr="001E7AD0">
        <w:t>both cases</w:t>
      </w:r>
      <w:r w:rsidRPr="001E7AD0">
        <w:t>.</w:t>
      </w:r>
    </w:p>
    <w:p w14:paraId="571BC066" w14:textId="346D75C3" w:rsidR="00FC1BF0" w:rsidRPr="001E7AD0" w:rsidRDefault="00DC4AF4" w:rsidP="00DC4AF4">
      <w:pPr>
        <w:jc w:val="both"/>
      </w:pPr>
      <w:r w:rsidRPr="001E7AD0">
        <w:t xml:space="preserve">For normal UEs, power control is a relatively simple algorithm, independent of most parameters required to establish a functioning connection to the gNB. This is the case even if the UE is mobile and for that reason needs to change beams, TCI states, or even cells more frequently than an IAB node </w:t>
      </w:r>
      <w:r w:rsidR="004C0456" w:rsidRPr="001E7AD0">
        <w:t>that</w:t>
      </w:r>
      <w:r w:rsidRPr="001E7AD0">
        <w:t xml:space="preserve"> can be expected to</w:t>
      </w:r>
      <w:r w:rsidR="004C0456" w:rsidRPr="001E7AD0">
        <w:t xml:space="preserve"> be stationary</w:t>
      </w:r>
      <w:r w:rsidR="006B6228" w:rsidRPr="001E7AD0">
        <w:t xml:space="preserve"> with </w:t>
      </w:r>
      <w:r w:rsidR="006E171D" w:rsidRPr="001E7AD0">
        <w:t>planned</w:t>
      </w:r>
      <w:r w:rsidR="006B6228" w:rsidRPr="001E7AD0">
        <w:t xml:space="preserve"> behavior</w:t>
      </w:r>
      <w:r w:rsidRPr="001E7AD0">
        <w:t>. For IAB nodes, RAN1 has agreed on a similar and very flexible configuration information for both UL PSD reporting and DL TX power control</w:t>
      </w:r>
      <w:proofErr w:type="gramStart"/>
      <w:r w:rsidRPr="001E7AD0">
        <w:t>, ,</w:t>
      </w:r>
      <w:proofErr w:type="gramEnd"/>
      <w:r w:rsidRPr="001E7AD0">
        <w:t xml:space="preserve"> without actually considering the feasibility, consequences or the advantages with such a framework. </w:t>
      </w:r>
      <w:r w:rsidR="00FC1BF0" w:rsidRPr="001E7AD0">
        <w:t>Moreover, t</w:t>
      </w:r>
      <w:r w:rsidRPr="001E7AD0">
        <w:t xml:space="preserve">he introduced flexibility has </w:t>
      </w:r>
      <w:r w:rsidR="00593F5D" w:rsidRPr="001E7AD0">
        <w:t>consequences</w:t>
      </w:r>
      <w:r w:rsidRPr="001E7AD0">
        <w:t xml:space="preserve"> in terms of increased signaling overhead.</w:t>
      </w:r>
    </w:p>
    <w:p w14:paraId="50DBAE13" w14:textId="44B5566E" w:rsidR="00FC1BF0" w:rsidRPr="001E7AD0" w:rsidRDefault="00FC1BF0" w:rsidP="00FC1BF0">
      <w:pPr>
        <w:pStyle w:val="Observation"/>
      </w:pPr>
      <w:bookmarkStart w:id="46" w:name="_Toc87042505"/>
      <w:r w:rsidRPr="001E7AD0">
        <w:t>TX power control is a trade-off between power control flexibility and signaling overhead.</w:t>
      </w:r>
      <w:bookmarkEnd w:id="46"/>
    </w:p>
    <w:p w14:paraId="1C21881F" w14:textId="39492C01" w:rsidR="00593F5D" w:rsidRPr="001E7AD0" w:rsidRDefault="00FC1BF0" w:rsidP="00DC4AF4">
      <w:pPr>
        <w:jc w:val="both"/>
      </w:pPr>
      <w:r w:rsidRPr="001E7AD0">
        <w:t>C</w:t>
      </w:r>
      <w:r w:rsidR="00DC4AF4" w:rsidRPr="001E7AD0">
        <w:t xml:space="preserve">onsidering the objective with WI 8.10.2, </w:t>
      </w:r>
      <w:r w:rsidR="00593F5D" w:rsidRPr="001E7AD0">
        <w:t>to specify “</w:t>
      </w:r>
      <w:r w:rsidR="00593F5D" w:rsidRPr="001E7AD0">
        <w:rPr>
          <w:i/>
          <w:iCs/>
        </w:rPr>
        <w:t>extensions for DL/UL power control, …, as needed, to support simultaneous operation</w:t>
      </w:r>
      <w:r w:rsidR="00593F5D" w:rsidRPr="001E7AD0">
        <w:t>” does not give a carte blanche for introducing any power control for an arbitrary multiplexing mode.</w:t>
      </w:r>
      <w:r w:rsidRPr="001E7AD0">
        <w:t xml:space="preserve"> With this in mind, </w:t>
      </w:r>
      <w:proofErr w:type="gramStart"/>
      <w:r w:rsidRPr="001E7AD0">
        <w:t>it is clear that parent</w:t>
      </w:r>
      <w:proofErr w:type="gramEnd"/>
      <w:r w:rsidRPr="001E7AD0">
        <w:t xml:space="preserve"> DL TX power control is only relevant for cases where the IAB node is operating in simultaneous reception </w:t>
      </w:r>
      <w:r w:rsidR="00EC34E7" w:rsidRPr="001E7AD0">
        <w:t>mode</w:t>
      </w:r>
      <w:r w:rsidRPr="001E7AD0">
        <w:t xml:space="preserve"> and, correspondingly, reporting of a desired UL TX PSD is only relevant when the IAB node is operating in simultaneous transmission</w:t>
      </w:r>
      <w:r w:rsidR="00EC34E7" w:rsidRPr="001E7AD0">
        <w:t xml:space="preserve"> mode</w:t>
      </w:r>
      <w:r w:rsidRPr="001E7AD0">
        <w:t>. Introduction of any power control signaling should be restricted to cases that are in line with the WI objective.</w:t>
      </w:r>
    </w:p>
    <w:p w14:paraId="690E79EA" w14:textId="36541FA1" w:rsidR="00DC4AF4" w:rsidRPr="001E7AD0" w:rsidRDefault="00DC4AF4" w:rsidP="00DC4AF4">
      <w:pPr>
        <w:pStyle w:val="Observation"/>
      </w:pPr>
      <w:bookmarkStart w:id="47" w:name="_Toc87042506"/>
      <w:r w:rsidRPr="001E7AD0">
        <w:t>UL</w:t>
      </w:r>
      <w:r w:rsidR="00B96709" w:rsidRPr="001E7AD0">
        <w:t xml:space="preserve"> PSD range indication and </w:t>
      </w:r>
      <w:r w:rsidRPr="001E7AD0">
        <w:t xml:space="preserve">DL power control </w:t>
      </w:r>
      <w:r w:rsidR="002E4062" w:rsidRPr="001E7AD0">
        <w:t>are</w:t>
      </w:r>
      <w:r w:rsidR="00FC1BF0" w:rsidRPr="001E7AD0">
        <w:t xml:space="preserve"> introduced to support simultaneous </w:t>
      </w:r>
      <w:r w:rsidRPr="001E7AD0">
        <w:t>transmission</w:t>
      </w:r>
      <w:r w:rsidR="00CA33C6" w:rsidRPr="001E7AD0">
        <w:t xml:space="preserve"> and simultaneous </w:t>
      </w:r>
      <w:r w:rsidRPr="001E7AD0">
        <w:t>reception and typically</w:t>
      </w:r>
      <w:r w:rsidR="002E4062" w:rsidRPr="001E7AD0">
        <w:t>,</w:t>
      </w:r>
      <w:r w:rsidRPr="001E7AD0">
        <w:t xml:space="preserve"> only for IAB nodes in Case-6</w:t>
      </w:r>
      <w:r w:rsidR="00B96709" w:rsidRPr="001E7AD0">
        <w:t xml:space="preserve"> and </w:t>
      </w:r>
      <w:r w:rsidRPr="001E7AD0">
        <w:t>Case-7 timing</w:t>
      </w:r>
      <w:r w:rsidR="00B96709" w:rsidRPr="001E7AD0">
        <w:t>, respectively</w:t>
      </w:r>
      <w:r w:rsidRPr="001E7AD0">
        <w:t>.</w:t>
      </w:r>
      <w:bookmarkEnd w:id="47"/>
    </w:p>
    <w:p w14:paraId="2E328B87" w14:textId="7EF1EF0D" w:rsidR="004C110B" w:rsidRPr="001E7AD0" w:rsidRDefault="00FC1BF0" w:rsidP="00FC1BF0">
      <w:pPr>
        <w:jc w:val="both"/>
      </w:pPr>
      <w:r w:rsidRPr="001E7AD0">
        <w:t xml:space="preserve">Considering the introduced flexibility, it is worth noting that it requires both the requesting and the responding node to have information about the configuration that is being </w:t>
      </w:r>
      <w:r w:rsidR="00951452" w:rsidRPr="001E7AD0">
        <w:t xml:space="preserve">exposed to </w:t>
      </w:r>
      <w:r w:rsidRPr="001E7AD0">
        <w:t xml:space="preserve">power control. </w:t>
      </w:r>
      <w:commentRangeStart w:id="48"/>
      <w:r w:rsidRPr="001E7AD0">
        <w:t xml:space="preserve">So far there is no agreement that a parent node has information about the IAB DU’s </w:t>
      </w:r>
      <w:r w:rsidR="00034AC7" w:rsidRPr="001E7AD0">
        <w:t xml:space="preserve">frequency domain </w:t>
      </w:r>
      <w:r w:rsidRPr="001E7AD0">
        <w:t>resource configuration</w:t>
      </w:r>
      <w:r w:rsidR="004C110B" w:rsidRPr="001E7AD0">
        <w:t xml:space="preserve"> or what such information should include</w:t>
      </w:r>
      <w:r w:rsidRPr="001E7AD0">
        <w:t xml:space="preserve">. </w:t>
      </w:r>
      <w:r w:rsidR="004C110B" w:rsidRPr="001E7AD0">
        <w:t xml:space="preserve">From a timing and power control perspective, it would suffice to provide information about whether a slot is configured TDM or FDM, which together with </w:t>
      </w:r>
      <w:r w:rsidR="00A734C6" w:rsidRPr="001E7AD0">
        <w:t xml:space="preserve">the </w:t>
      </w:r>
      <w:r w:rsidR="004C110B" w:rsidRPr="001E7AD0">
        <w:t>MT</w:t>
      </w:r>
      <w:r w:rsidR="00A734C6" w:rsidRPr="001E7AD0">
        <w:t>’s</w:t>
      </w:r>
      <w:r w:rsidR="004C110B" w:rsidRPr="001E7AD0">
        <w:t xml:space="preserve"> and DU</w:t>
      </w:r>
      <w:r w:rsidR="00A734C6" w:rsidRPr="001E7AD0">
        <w:t>’s</w:t>
      </w:r>
      <w:r w:rsidR="004C110B" w:rsidRPr="001E7AD0">
        <w:t xml:space="preserve"> TDD format</w:t>
      </w:r>
      <w:r w:rsidR="00A734C6" w:rsidRPr="001E7AD0">
        <w:t xml:space="preserve">, would allow the parent node to make an informed decision about </w:t>
      </w:r>
      <w:r w:rsidR="00992048" w:rsidRPr="001E7AD0">
        <w:t xml:space="preserve">which slots are configured </w:t>
      </w:r>
      <w:r w:rsidR="00A734C6" w:rsidRPr="001E7AD0">
        <w:t>for simultaneous operation.</w:t>
      </w:r>
    </w:p>
    <w:p w14:paraId="1EAD3188" w14:textId="23ED74FD" w:rsidR="00FC1BF0" w:rsidRPr="001E7AD0" w:rsidRDefault="00FC1BF0" w:rsidP="00FC1BF0">
      <w:pPr>
        <w:jc w:val="both"/>
      </w:pPr>
      <w:r w:rsidRPr="001E7AD0">
        <w:t xml:space="preserve">Even though we see advantages </w:t>
      </w:r>
      <w:r w:rsidR="0080413E" w:rsidRPr="001E7AD0">
        <w:t xml:space="preserve">with </w:t>
      </w:r>
      <w:r w:rsidRPr="001E7AD0">
        <w:t xml:space="preserve">introducing such functionality, doing so in the last meeting is too late since resource configuration is one of the more complicated configuration schemes in </w:t>
      </w:r>
      <w:proofErr w:type="spellStart"/>
      <w:r w:rsidRPr="001E7AD0">
        <w:t>eIAB</w:t>
      </w:r>
      <w:proofErr w:type="spellEnd"/>
      <w:r w:rsidRPr="001E7AD0">
        <w:t>, even more so with the introduction of FDM in addition to TDM</w:t>
      </w:r>
      <w:r w:rsidR="00F12712" w:rsidRPr="001E7AD0">
        <w:t xml:space="preserve"> and considering backwards compatibility</w:t>
      </w:r>
      <w:r w:rsidRPr="001E7AD0">
        <w:t xml:space="preserve">. </w:t>
      </w:r>
      <w:r w:rsidR="00F12712" w:rsidRPr="001E7AD0">
        <w:t>Additionally</w:t>
      </w:r>
      <w:r w:rsidRPr="001E7AD0">
        <w:t xml:space="preserve">, there is no specified mechanism for indication </w:t>
      </w:r>
      <w:proofErr w:type="gramStart"/>
      <w:r w:rsidRPr="001E7AD0">
        <w:t>in order for</w:t>
      </w:r>
      <w:proofErr w:type="gramEnd"/>
      <w:r w:rsidRPr="001E7AD0">
        <w:t xml:space="preserve"> the two IAB nodes to distinguish among the different resource configurations.</w:t>
      </w:r>
    </w:p>
    <w:p w14:paraId="6B67FC51" w14:textId="467E9AC8" w:rsidR="00DC4AF4" w:rsidRPr="001E7AD0" w:rsidRDefault="00DC4AF4" w:rsidP="00DC4AF4">
      <w:pPr>
        <w:pStyle w:val="Observation"/>
      </w:pPr>
      <w:bookmarkStart w:id="49" w:name="_Toc87042507"/>
      <w:r w:rsidRPr="001E7AD0">
        <w:t xml:space="preserve">The parent node performing UL/DL TX power control does not necessarily know about the IAB node’s H/S/NA resource configuration and there is no mechanism for </w:t>
      </w:r>
      <w:r w:rsidR="007A6BEF" w:rsidRPr="001E7AD0">
        <w:t xml:space="preserve">efficient </w:t>
      </w:r>
      <w:r w:rsidRPr="001E7AD0">
        <w:t>indicati</w:t>
      </w:r>
      <w:r w:rsidR="007A6BEF" w:rsidRPr="001E7AD0">
        <w:t>o</w:t>
      </w:r>
      <w:r w:rsidRPr="001E7AD0">
        <w:t>n.</w:t>
      </w:r>
      <w:bookmarkEnd w:id="49"/>
    </w:p>
    <w:p w14:paraId="0204BB95" w14:textId="231638FC" w:rsidR="00EE2EDA" w:rsidRPr="001E7AD0" w:rsidRDefault="00ED3AFF" w:rsidP="00EE2EDA">
      <w:pPr>
        <w:pStyle w:val="Proposal"/>
      </w:pPr>
      <w:bookmarkStart w:id="50" w:name="_Toc87042523"/>
      <w:r w:rsidRPr="001E7AD0">
        <w:t xml:space="preserve">Provide slot-based </w:t>
      </w:r>
      <w:r w:rsidR="00261B2A" w:rsidRPr="001E7AD0">
        <w:t xml:space="preserve">multiplexing </w:t>
      </w:r>
      <w:r w:rsidRPr="001E7AD0">
        <w:t>configuration</w:t>
      </w:r>
      <w:r w:rsidR="00261B2A" w:rsidRPr="001E7AD0">
        <w:t xml:space="preserve"> (TDM or FDM)</w:t>
      </w:r>
      <w:r w:rsidRPr="001E7AD0">
        <w:t xml:space="preserve"> information to parent node for simultaneous operation</w:t>
      </w:r>
      <w:r w:rsidR="00261B2A" w:rsidRPr="001E7AD0">
        <w:t>.</w:t>
      </w:r>
      <w:bookmarkEnd w:id="50"/>
    </w:p>
    <w:commentRangeEnd w:id="48"/>
    <w:p w14:paraId="22BA622E" w14:textId="4FE1F170" w:rsidR="00CC1ADE" w:rsidRPr="001E7AD0" w:rsidRDefault="00D543FA" w:rsidP="001E7AD0">
      <w:pPr>
        <w:jc w:val="both"/>
      </w:pPr>
      <w:r w:rsidRPr="001E7AD0">
        <w:lastRenderedPageBreak/>
        <w:t xml:space="preserve">Below, we assume that the parent node has </w:t>
      </w:r>
      <w:r w:rsidR="00994B1C" w:rsidRPr="001E7AD0">
        <w:t>some</w:t>
      </w:r>
      <w:r w:rsidRPr="001E7AD0">
        <w:t xml:space="preserve"> information</w:t>
      </w:r>
      <w:r w:rsidR="00683199" w:rsidRPr="001E7AD0">
        <w:t xml:space="preserve"> about the IAB node’s </w:t>
      </w:r>
      <w:r w:rsidRPr="001E7AD0">
        <w:t xml:space="preserve">resource </w:t>
      </w:r>
      <w:r w:rsidR="00683199" w:rsidRPr="001E7AD0">
        <w:t>configuration</w:t>
      </w:r>
      <w:r w:rsidRPr="001E7AD0">
        <w:t>. This information includes the IAB node’s TDD pattern (UL/DL/F), multiplexing mode (TDM or FDM) and semi</w:t>
      </w:r>
      <w:r w:rsidR="0035512D" w:rsidRPr="001E7AD0">
        <w:t>-</w:t>
      </w:r>
      <w:r w:rsidRPr="001E7AD0">
        <w:t>static configuration (H/S/NA)</w:t>
      </w:r>
      <w:r w:rsidR="0035512D" w:rsidRPr="001E7AD0">
        <w:t xml:space="preserve"> on a slot level</w:t>
      </w:r>
      <w:r w:rsidR="00D71F67" w:rsidRPr="001E7AD0">
        <w:t xml:space="preserve">. </w:t>
      </w:r>
      <w:r w:rsidR="00994B1C" w:rsidRPr="001E7AD0">
        <w:t xml:space="preserve">The semi-static H/S/NA may be on a binary granularity </w:t>
      </w:r>
      <w:r w:rsidR="00A42056" w:rsidRPr="001E7AD0">
        <w:t xml:space="preserve">level </w:t>
      </w:r>
      <w:r w:rsidR="00994B1C" w:rsidRPr="001E7AD0">
        <w:t>– if any RB set is configured H/S/NA or not.</w:t>
      </w:r>
      <w:r w:rsidR="00D71F67" w:rsidRPr="001E7AD0">
        <w:t xml:space="preserve"> Th</w:t>
      </w:r>
      <w:r w:rsidR="00A42056" w:rsidRPr="001E7AD0">
        <w:t>e above</w:t>
      </w:r>
      <w:r w:rsidR="00D71F67" w:rsidRPr="001E7AD0">
        <w:t xml:space="preserve"> is information that anyway needs to be available at the parent node for it to be able to dynamically indicate availability to</w:t>
      </w:r>
      <w:r w:rsidR="006C7084" w:rsidRPr="001E7AD0">
        <w:t>,</w:t>
      </w:r>
      <w:r w:rsidR="00D71F67" w:rsidRPr="001E7AD0">
        <w:t xml:space="preserve"> and to schedule</w:t>
      </w:r>
      <w:r w:rsidR="006C7084" w:rsidRPr="001E7AD0">
        <w:t>,</w:t>
      </w:r>
      <w:r w:rsidR="00D71F67" w:rsidRPr="001E7AD0">
        <w:t xml:space="preserve"> the IAB node.</w:t>
      </w:r>
      <w:r w:rsidR="00561E0B" w:rsidRPr="001E7AD0">
        <w:t xml:space="preserve"> </w:t>
      </w:r>
      <w:r w:rsidR="00683199" w:rsidRPr="001E7AD0">
        <w:t xml:space="preserve">By </w:t>
      </w:r>
      <w:r w:rsidR="00561E0B" w:rsidRPr="001E7AD0">
        <w:t>using this information</w:t>
      </w:r>
      <w:r w:rsidR="00683199" w:rsidRPr="001E7AD0">
        <w:t xml:space="preserve">, the parent node can determine resources for </w:t>
      </w:r>
      <w:r w:rsidR="000A4785" w:rsidRPr="001E7AD0">
        <w:t>simultaneous operation</w:t>
      </w:r>
      <w:r w:rsidR="00A42056" w:rsidRPr="001E7AD0">
        <w:t>,</w:t>
      </w:r>
      <w:r w:rsidR="000A4785" w:rsidRPr="001E7AD0">
        <w:t xml:space="preserve"> and thereby </w:t>
      </w:r>
      <w:r w:rsidR="00FB0EC6" w:rsidRPr="001E7AD0">
        <w:t xml:space="preserve">whether </w:t>
      </w:r>
      <w:r w:rsidR="000A4785" w:rsidRPr="001E7AD0">
        <w:t>enhanced (UL or DL) power control</w:t>
      </w:r>
      <w:r w:rsidR="00683199" w:rsidRPr="001E7AD0">
        <w:t xml:space="preserve"> </w:t>
      </w:r>
      <w:r w:rsidR="000A4785" w:rsidRPr="001E7AD0">
        <w:t xml:space="preserve">is beneficial. </w:t>
      </w:r>
      <w:r w:rsidR="00FB0EC6" w:rsidRPr="001E7AD0">
        <w:t xml:space="preserve">Based on the </w:t>
      </w:r>
      <w:r w:rsidR="0035512D" w:rsidRPr="001E7AD0">
        <w:t xml:space="preserve">shared </w:t>
      </w:r>
      <w:r w:rsidR="00FB0EC6" w:rsidRPr="001E7AD0">
        <w:t>semi-static configurations and dynamic indications, t</w:t>
      </w:r>
      <w:r w:rsidR="00CC1ADE" w:rsidRPr="001E7AD0">
        <w:t xml:space="preserve">he </w:t>
      </w:r>
      <w:r w:rsidR="00561E0B" w:rsidRPr="001E7AD0">
        <w:t xml:space="preserve">requirements for where </w:t>
      </w:r>
      <w:r w:rsidR="00CC1ADE" w:rsidRPr="001E7AD0">
        <w:t xml:space="preserve">enhanced power control would </w:t>
      </w:r>
      <w:r w:rsidR="00D05717" w:rsidRPr="001E7AD0">
        <w:t xml:space="preserve">be beneficial are </w:t>
      </w:r>
      <w:r w:rsidR="00B0290A" w:rsidRPr="001E7AD0">
        <w:t>summarized</w:t>
      </w:r>
      <w:r w:rsidR="00FB0EC6" w:rsidRPr="001E7AD0">
        <w:t xml:space="preserve"> in </w:t>
      </w:r>
      <w:r w:rsidR="0035512D" w:rsidRPr="001E7AD0">
        <w:fldChar w:fldCharType="begin"/>
      </w:r>
      <w:r w:rsidR="0035512D" w:rsidRPr="001E7AD0">
        <w:instrText xml:space="preserve"> REF _Ref86767932 \h </w:instrText>
      </w:r>
      <w:r w:rsidR="00261B2A" w:rsidRPr="001E7AD0">
        <w:instrText xml:space="preserve"> \* MERGEFORMAT </w:instrText>
      </w:r>
      <w:r w:rsidR="0035512D" w:rsidRPr="001E7AD0">
        <w:fldChar w:fldCharType="separate"/>
      </w:r>
      <w:r w:rsidR="001853DE" w:rsidRPr="001E7AD0">
        <w:t xml:space="preserve">Table </w:t>
      </w:r>
      <w:r w:rsidR="001853DE">
        <w:t>5</w:t>
      </w:r>
      <w:r w:rsidR="0035512D" w:rsidRPr="001E7AD0">
        <w:fldChar w:fldCharType="end"/>
      </w:r>
      <w:r w:rsidR="00D05717" w:rsidRPr="001E7AD0">
        <w:t>.</w:t>
      </w:r>
      <w:r w:rsidR="009B2E1E" w:rsidRPr="001E7AD0">
        <w:t xml:space="preserve"> </w:t>
      </w:r>
      <w:r w:rsidR="00FB791E" w:rsidRPr="001E7AD0">
        <w:t>In the table</w:t>
      </w:r>
      <w:r w:rsidR="00A742B6" w:rsidRPr="001E7AD0">
        <w:t>,</w:t>
      </w:r>
      <w:r w:rsidR="00FB791E" w:rsidRPr="001E7AD0">
        <w:t xml:space="preserve"> H/NA indicates that some RB sets are configured Hard or Not Available</w:t>
      </w:r>
      <w:r w:rsidR="00332929" w:rsidRPr="001E7AD0">
        <w:t>,</w:t>
      </w:r>
      <w:r w:rsidR="00FB791E" w:rsidRPr="001E7AD0">
        <w:t xml:space="preserve"> but no RB set is configured </w:t>
      </w:r>
      <w:r w:rsidR="007279AF" w:rsidRPr="001E7AD0">
        <w:t xml:space="preserve">as </w:t>
      </w:r>
      <w:r w:rsidR="00FB791E" w:rsidRPr="001E7AD0">
        <w:t>Soft.</w:t>
      </w:r>
      <w:r w:rsidR="009B2E1E" w:rsidRPr="001E7AD0">
        <w:t xml:space="preserve"> Two things</w:t>
      </w:r>
      <w:r w:rsidR="00F3781A" w:rsidRPr="001E7AD0">
        <w:t xml:space="preserve"> can be noted </w:t>
      </w:r>
      <w:r w:rsidR="009B2E1E" w:rsidRPr="001E7AD0">
        <w:t xml:space="preserve">in </w:t>
      </w:r>
      <w:r w:rsidR="00F3781A" w:rsidRPr="001E7AD0">
        <w:t xml:space="preserve">the </w:t>
      </w:r>
      <w:r w:rsidR="009B2E1E" w:rsidRPr="001E7AD0">
        <w:t>table. First, TDM does not allow for simultaneous operation and hence, does not</w:t>
      </w:r>
      <w:r w:rsidR="00F3781A" w:rsidRPr="001E7AD0">
        <w:t xml:space="preserve"> </w:t>
      </w:r>
      <w:r w:rsidR="009B2E1E" w:rsidRPr="001E7AD0">
        <w:t xml:space="preserve">benefit from DL TX power control. Second, </w:t>
      </w:r>
      <w:r w:rsidR="005535A0" w:rsidRPr="001E7AD0">
        <w:t>the normal</w:t>
      </w:r>
      <w:r w:rsidR="00F3781A" w:rsidRPr="001E7AD0">
        <w:t xml:space="preserve"> H/S/NA configuration</w:t>
      </w:r>
      <w:r w:rsidR="00BD24EF" w:rsidRPr="001E7AD0">
        <w:t>, in this consideration,</w:t>
      </w:r>
      <w:r w:rsidR="00F3781A" w:rsidRPr="001E7AD0">
        <w:t xml:space="preserve"> </w:t>
      </w:r>
      <w:r w:rsidR="005535A0" w:rsidRPr="001E7AD0">
        <w:t xml:space="preserve">is a special case of the more general </w:t>
      </w:r>
      <w:r w:rsidR="00F3781A" w:rsidRPr="001E7AD0">
        <w:t>H/NA</w:t>
      </w:r>
      <w:r w:rsidR="00BD24EF" w:rsidRPr="001E7AD0">
        <w:t xml:space="preserve"> configuration</w:t>
      </w:r>
      <w:r w:rsidR="00D05717" w:rsidRPr="001E7AD0">
        <w:t>.</w:t>
      </w:r>
    </w:p>
    <w:p w14:paraId="05D61F51" w14:textId="17E33842" w:rsidR="00B44F79" w:rsidRPr="001E7AD0" w:rsidRDefault="00B44F79" w:rsidP="00B44F79">
      <w:pPr>
        <w:pStyle w:val="Caption"/>
        <w:keepNext/>
      </w:pPr>
      <w:bookmarkStart w:id="51" w:name="_Ref86767932"/>
      <w:r w:rsidRPr="001E7AD0">
        <w:t xml:space="preserve">Table </w:t>
      </w:r>
      <w:r w:rsidRPr="001E7AD0">
        <w:fldChar w:fldCharType="begin"/>
      </w:r>
      <w:r w:rsidRPr="001E7AD0">
        <w:instrText xml:space="preserve"> SEQ Table \* ARABIC </w:instrText>
      </w:r>
      <w:r w:rsidRPr="001E7AD0">
        <w:fldChar w:fldCharType="separate"/>
      </w:r>
      <w:r w:rsidR="001853DE">
        <w:rPr>
          <w:noProof/>
        </w:rPr>
        <w:t>5</w:t>
      </w:r>
      <w:r w:rsidRPr="001E7AD0">
        <w:fldChar w:fldCharType="end"/>
      </w:r>
      <w:bookmarkEnd w:id="51"/>
      <w:r w:rsidRPr="001E7AD0">
        <w:t xml:space="preserve">: </w:t>
      </w:r>
      <w:r w:rsidR="005602E0" w:rsidRPr="001E7AD0">
        <w:t>Combinations of s</w:t>
      </w:r>
      <w:r w:rsidRPr="001E7AD0">
        <w:t>emi-static configuration and dynamic indication for which enhanced power control is beneficial.</w:t>
      </w:r>
    </w:p>
    <w:tbl>
      <w:tblPr>
        <w:tblStyle w:val="GridTable5Dark-Accent1"/>
        <w:tblW w:w="0" w:type="auto"/>
        <w:tblLook w:val="04A0" w:firstRow="1" w:lastRow="0" w:firstColumn="1" w:lastColumn="0" w:noHBand="0" w:noVBand="1"/>
      </w:tblPr>
      <w:tblGrid>
        <w:gridCol w:w="3209"/>
        <w:gridCol w:w="3210"/>
        <w:gridCol w:w="3210"/>
      </w:tblGrid>
      <w:tr w:rsidR="007F3861" w:rsidRPr="001E7AD0" w14:paraId="7CBEAC86" w14:textId="77777777" w:rsidTr="007F38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6A584E8" w14:textId="63A16368" w:rsidR="007F3861" w:rsidRPr="001E7AD0" w:rsidRDefault="00CA01D3" w:rsidP="00FC1BF0">
            <w:pPr>
              <w:jc w:val="both"/>
            </w:pPr>
            <w:r w:rsidRPr="001E7AD0">
              <w:t>Multiplexing mode</w:t>
            </w:r>
          </w:p>
        </w:tc>
        <w:tc>
          <w:tcPr>
            <w:tcW w:w="3210" w:type="dxa"/>
          </w:tcPr>
          <w:p w14:paraId="06E89605" w14:textId="01254BC1" w:rsidR="007F3861" w:rsidRPr="001E7AD0" w:rsidRDefault="00515DDD" w:rsidP="00FC1BF0">
            <w:pPr>
              <w:jc w:val="both"/>
              <w:cnfStyle w:val="100000000000" w:firstRow="1" w:lastRow="0" w:firstColumn="0" w:lastColumn="0" w:oddVBand="0" w:evenVBand="0" w:oddHBand="0" w:evenHBand="0" w:firstRowFirstColumn="0" w:firstRowLastColumn="0" w:lastRowFirstColumn="0" w:lastRowLastColumn="0"/>
            </w:pPr>
            <w:r w:rsidRPr="001E7AD0">
              <w:t>Semi-static configuration</w:t>
            </w:r>
          </w:p>
        </w:tc>
        <w:tc>
          <w:tcPr>
            <w:tcW w:w="3210" w:type="dxa"/>
          </w:tcPr>
          <w:p w14:paraId="23CFFA36" w14:textId="41E44631" w:rsidR="007F3861" w:rsidRPr="001E7AD0" w:rsidRDefault="00515DDD" w:rsidP="00FC1BF0">
            <w:pPr>
              <w:jc w:val="both"/>
              <w:cnfStyle w:val="100000000000" w:firstRow="1" w:lastRow="0" w:firstColumn="0" w:lastColumn="0" w:oddVBand="0" w:evenVBand="0" w:oddHBand="0" w:evenHBand="0" w:firstRowFirstColumn="0" w:firstRowLastColumn="0" w:lastRowFirstColumn="0" w:lastRowLastColumn="0"/>
            </w:pPr>
            <w:r w:rsidRPr="001E7AD0">
              <w:t>Dynamic indication</w:t>
            </w:r>
          </w:p>
        </w:tc>
      </w:tr>
      <w:tr w:rsidR="007F3861" w:rsidRPr="001E7AD0" w14:paraId="6D948574" w14:textId="77777777" w:rsidTr="007F38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9ED98C0" w14:textId="03BCB002" w:rsidR="007F3861" w:rsidRPr="001E7AD0" w:rsidRDefault="007F3861" w:rsidP="00FC1BF0">
            <w:pPr>
              <w:jc w:val="both"/>
            </w:pPr>
            <w:r w:rsidRPr="001E7AD0">
              <w:t>TDM</w:t>
            </w:r>
          </w:p>
        </w:tc>
        <w:tc>
          <w:tcPr>
            <w:tcW w:w="3210" w:type="dxa"/>
          </w:tcPr>
          <w:p w14:paraId="6B09D231" w14:textId="5D2BAE01" w:rsidR="007F3861" w:rsidRPr="001E7AD0" w:rsidRDefault="007F3861" w:rsidP="00FC1BF0">
            <w:pPr>
              <w:jc w:val="both"/>
              <w:cnfStyle w:val="000000100000" w:firstRow="0" w:lastRow="0" w:firstColumn="0" w:lastColumn="0" w:oddVBand="0" w:evenVBand="0" w:oddHBand="1" w:evenHBand="0" w:firstRowFirstColumn="0" w:firstRowLastColumn="0" w:lastRowFirstColumn="0" w:lastRowLastColumn="0"/>
            </w:pPr>
          </w:p>
        </w:tc>
        <w:tc>
          <w:tcPr>
            <w:tcW w:w="3210" w:type="dxa"/>
          </w:tcPr>
          <w:p w14:paraId="72D196D6" w14:textId="13813ADE" w:rsidR="007F3861" w:rsidRPr="001E7AD0" w:rsidRDefault="007F3861" w:rsidP="00FC1BF0">
            <w:pPr>
              <w:jc w:val="both"/>
              <w:cnfStyle w:val="000000100000" w:firstRow="0" w:lastRow="0" w:firstColumn="0" w:lastColumn="0" w:oddVBand="0" w:evenVBand="0" w:oddHBand="1" w:evenHBand="0" w:firstRowFirstColumn="0" w:firstRowLastColumn="0" w:lastRowFirstColumn="0" w:lastRowLastColumn="0"/>
            </w:pPr>
          </w:p>
        </w:tc>
      </w:tr>
      <w:tr w:rsidR="007F3861" w:rsidRPr="001E7AD0" w14:paraId="55680392" w14:textId="77777777" w:rsidTr="007F3861">
        <w:tc>
          <w:tcPr>
            <w:cnfStyle w:val="001000000000" w:firstRow="0" w:lastRow="0" w:firstColumn="1" w:lastColumn="0" w:oddVBand="0" w:evenVBand="0" w:oddHBand="0" w:evenHBand="0" w:firstRowFirstColumn="0" w:firstRowLastColumn="0" w:lastRowFirstColumn="0" w:lastRowLastColumn="0"/>
            <w:tcW w:w="3209" w:type="dxa"/>
          </w:tcPr>
          <w:p w14:paraId="75D09AC3" w14:textId="7CD0E43F" w:rsidR="007F3861" w:rsidRPr="001E7AD0" w:rsidRDefault="007F3861" w:rsidP="00FC1BF0">
            <w:pPr>
              <w:jc w:val="both"/>
            </w:pPr>
            <w:r w:rsidRPr="001E7AD0">
              <w:t>FDM</w:t>
            </w:r>
          </w:p>
        </w:tc>
        <w:tc>
          <w:tcPr>
            <w:tcW w:w="3210" w:type="dxa"/>
          </w:tcPr>
          <w:p w14:paraId="6B147C27" w14:textId="2385C0E2" w:rsidR="007F3861" w:rsidRPr="001E7AD0" w:rsidRDefault="00515DDD" w:rsidP="00FC1BF0">
            <w:pPr>
              <w:jc w:val="both"/>
              <w:cnfStyle w:val="000000000000" w:firstRow="0" w:lastRow="0" w:firstColumn="0" w:lastColumn="0" w:oddVBand="0" w:evenVBand="0" w:oddHBand="0" w:evenHBand="0" w:firstRowFirstColumn="0" w:firstRowLastColumn="0" w:lastRowFirstColumn="0" w:lastRowLastColumn="0"/>
            </w:pPr>
            <w:r w:rsidRPr="001E7AD0">
              <w:t>H</w:t>
            </w:r>
            <w:r w:rsidR="00F46576" w:rsidRPr="001E7AD0">
              <w:t>/</w:t>
            </w:r>
            <w:r w:rsidRPr="001E7AD0">
              <w:t>NA</w:t>
            </w:r>
          </w:p>
          <w:p w14:paraId="2E761C69" w14:textId="0F975486" w:rsidR="00515DDD" w:rsidRPr="001E7AD0" w:rsidRDefault="00515DDD" w:rsidP="00FC1BF0">
            <w:pPr>
              <w:jc w:val="both"/>
              <w:cnfStyle w:val="000000000000" w:firstRow="0" w:lastRow="0" w:firstColumn="0" w:lastColumn="0" w:oddVBand="0" w:evenVBand="0" w:oddHBand="0" w:evenHBand="0" w:firstRowFirstColumn="0" w:firstRowLastColumn="0" w:lastRowFirstColumn="0" w:lastRowLastColumn="0"/>
            </w:pPr>
            <w:r w:rsidRPr="001E7AD0">
              <w:t>H</w:t>
            </w:r>
            <w:r w:rsidR="00F46576" w:rsidRPr="001E7AD0">
              <w:t>/</w:t>
            </w:r>
            <w:r w:rsidRPr="001E7AD0">
              <w:t>S</w:t>
            </w:r>
          </w:p>
          <w:p w14:paraId="5ECE3322" w14:textId="44E4A4CD" w:rsidR="00515DDD" w:rsidRPr="001E7AD0" w:rsidRDefault="00515DDD" w:rsidP="00FC1BF0">
            <w:pPr>
              <w:jc w:val="both"/>
              <w:cnfStyle w:val="000000000000" w:firstRow="0" w:lastRow="0" w:firstColumn="0" w:lastColumn="0" w:oddVBand="0" w:evenVBand="0" w:oddHBand="0" w:evenHBand="0" w:firstRowFirstColumn="0" w:firstRowLastColumn="0" w:lastRowFirstColumn="0" w:lastRowLastColumn="0"/>
            </w:pPr>
            <w:r w:rsidRPr="001E7AD0">
              <w:t>S</w:t>
            </w:r>
            <w:r w:rsidR="00F46576" w:rsidRPr="001E7AD0">
              <w:t>/</w:t>
            </w:r>
            <w:r w:rsidRPr="001E7AD0">
              <w:t>NA</w:t>
            </w:r>
          </w:p>
        </w:tc>
        <w:tc>
          <w:tcPr>
            <w:tcW w:w="3210" w:type="dxa"/>
          </w:tcPr>
          <w:p w14:paraId="2759D547" w14:textId="2B8C8C8F" w:rsidR="007F3861" w:rsidRPr="001E7AD0" w:rsidRDefault="007F3861" w:rsidP="00FC1BF0">
            <w:pPr>
              <w:jc w:val="both"/>
              <w:cnfStyle w:val="000000000000" w:firstRow="0" w:lastRow="0" w:firstColumn="0" w:lastColumn="0" w:oddVBand="0" w:evenVBand="0" w:oddHBand="0" w:evenHBand="0" w:firstRowFirstColumn="0" w:firstRowLastColumn="0" w:lastRowFirstColumn="0" w:lastRowLastColumn="0"/>
            </w:pPr>
          </w:p>
          <w:p w14:paraId="6F22F160" w14:textId="77777777" w:rsidR="00515DDD" w:rsidRPr="001E7AD0" w:rsidRDefault="00515DDD" w:rsidP="00FC1BF0">
            <w:pPr>
              <w:jc w:val="both"/>
              <w:cnfStyle w:val="000000000000" w:firstRow="0" w:lastRow="0" w:firstColumn="0" w:lastColumn="0" w:oddVBand="0" w:evenVBand="0" w:oddHBand="0" w:evenHBand="0" w:firstRowFirstColumn="0" w:firstRowLastColumn="0" w:lastRowFirstColumn="0" w:lastRowLastColumn="0"/>
            </w:pPr>
            <w:r w:rsidRPr="001E7AD0">
              <w:t>At least one RB set</w:t>
            </w:r>
            <w:r w:rsidR="00CA01D3" w:rsidRPr="001E7AD0">
              <w:t xml:space="preserve"> not IA</w:t>
            </w:r>
          </w:p>
          <w:p w14:paraId="278C88C7" w14:textId="7E43B286" w:rsidR="00CA01D3" w:rsidRPr="001E7AD0" w:rsidRDefault="00CA01D3" w:rsidP="00FC1BF0">
            <w:pPr>
              <w:jc w:val="both"/>
              <w:cnfStyle w:val="000000000000" w:firstRow="0" w:lastRow="0" w:firstColumn="0" w:lastColumn="0" w:oddVBand="0" w:evenVBand="0" w:oddHBand="0" w:evenHBand="0" w:firstRowFirstColumn="0" w:firstRowLastColumn="0" w:lastRowFirstColumn="0" w:lastRowLastColumn="0"/>
            </w:pPr>
            <w:r w:rsidRPr="001E7AD0">
              <w:t>At least one RB set IA</w:t>
            </w:r>
          </w:p>
        </w:tc>
      </w:tr>
    </w:tbl>
    <w:p w14:paraId="7C767C9F" w14:textId="327739A0" w:rsidR="007F3861" w:rsidRPr="001E7AD0" w:rsidRDefault="00533FFF" w:rsidP="001E7AD0">
      <w:pPr>
        <w:spacing w:before="240"/>
        <w:jc w:val="both"/>
      </w:pPr>
      <w:r w:rsidRPr="001E7AD0">
        <w:t xml:space="preserve">The above does not </w:t>
      </w:r>
      <w:proofErr w:type="gramStart"/>
      <w:r w:rsidRPr="001E7AD0">
        <w:t>take into account</w:t>
      </w:r>
      <w:proofErr w:type="gramEnd"/>
      <w:r w:rsidRPr="001E7AD0">
        <w:t xml:space="preserve"> SDM capable nodes, for which, so far, no </w:t>
      </w:r>
      <w:r w:rsidR="00D21351" w:rsidRPr="001E7AD0">
        <w:t xml:space="preserve">specific </w:t>
      </w:r>
      <w:r w:rsidRPr="001E7AD0">
        <w:t>capability indication exists.</w:t>
      </w:r>
      <w:r w:rsidR="00C3788C" w:rsidRPr="001E7AD0">
        <w:t xml:space="preserve"> However, in our view, SDM is performed in Soft resources, i.e., it is up to the IAB node itself to determine whether the conditions for SDM are met or not. Hence, SDM can be excluded from the above </w:t>
      </w:r>
      <w:r w:rsidR="0094553D" w:rsidRPr="001E7AD0">
        <w:t>combining.</w:t>
      </w:r>
    </w:p>
    <w:p w14:paraId="6381CF0D" w14:textId="4DDEC4B1" w:rsidR="00F46576" w:rsidRPr="001E7AD0" w:rsidRDefault="00F46576" w:rsidP="00A537DD">
      <w:pPr>
        <w:pStyle w:val="Proposal"/>
      </w:pPr>
      <w:bookmarkStart w:id="52" w:name="_Ref86776433"/>
      <w:bookmarkStart w:id="53" w:name="_Toc87042524"/>
      <w:r w:rsidRPr="001E7AD0">
        <w:t xml:space="preserve">Enhanced (UL and DL) power control is provided for </w:t>
      </w:r>
      <w:r w:rsidR="00995F58" w:rsidRPr="001E7AD0">
        <w:t xml:space="preserve">symbols </w:t>
      </w:r>
      <w:r w:rsidR="00E84921" w:rsidRPr="001E7AD0">
        <w:t>for which</w:t>
      </w:r>
      <w:r w:rsidR="00995F58" w:rsidRPr="001E7AD0">
        <w:t xml:space="preserve"> </w:t>
      </w:r>
      <w:r w:rsidR="005535A0" w:rsidRPr="001E7AD0">
        <w:t>one or more of</w:t>
      </w:r>
      <w:r w:rsidR="00995F58" w:rsidRPr="001E7AD0">
        <w:t xml:space="preserve"> </w:t>
      </w:r>
      <w:r w:rsidRPr="001E7AD0">
        <w:t xml:space="preserve">the following combinations of multiplexing mode, semi-static </w:t>
      </w:r>
      <w:r w:rsidR="005A59A3" w:rsidRPr="001E7AD0">
        <w:t>configuration,</w:t>
      </w:r>
      <w:r w:rsidRPr="001E7AD0">
        <w:t xml:space="preserve"> and dynamic indication</w:t>
      </w:r>
      <w:r w:rsidR="00E84921" w:rsidRPr="001E7AD0">
        <w:t xml:space="preserve"> applies</w:t>
      </w:r>
      <w:r w:rsidRPr="001E7AD0">
        <w:t>:</w:t>
      </w:r>
      <w:bookmarkEnd w:id="52"/>
      <w:bookmarkEnd w:id="53"/>
    </w:p>
    <w:p w14:paraId="191F3E8C" w14:textId="4D898C07" w:rsidR="00F46576" w:rsidRPr="001E7AD0" w:rsidRDefault="00336238" w:rsidP="00336238">
      <w:pPr>
        <w:pStyle w:val="Proposal"/>
        <w:numPr>
          <w:ilvl w:val="1"/>
          <w:numId w:val="3"/>
        </w:numPr>
      </w:pPr>
      <w:bookmarkStart w:id="54" w:name="_Toc87042525"/>
      <w:r w:rsidRPr="001E7AD0">
        <w:rPr>
          <w:noProof/>
        </w:rPr>
        <w:t>FD</w:t>
      </w:r>
      <w:r w:rsidR="00F46576" w:rsidRPr="001E7AD0">
        <w:t>M-H/NA</w:t>
      </w:r>
      <w:bookmarkEnd w:id="54"/>
    </w:p>
    <w:p w14:paraId="6C46504F" w14:textId="172D65BE" w:rsidR="00F46576" w:rsidRPr="001E7AD0" w:rsidRDefault="00F46576" w:rsidP="00A537DD">
      <w:pPr>
        <w:pStyle w:val="Proposal"/>
        <w:numPr>
          <w:ilvl w:val="1"/>
          <w:numId w:val="3"/>
        </w:numPr>
      </w:pPr>
      <w:bookmarkStart w:id="55" w:name="_Toc87042526"/>
      <w:r w:rsidRPr="001E7AD0">
        <w:t>FDM-H/S</w:t>
      </w:r>
      <w:r w:rsidR="00A537DD" w:rsidRPr="001E7AD0">
        <w:t xml:space="preserve"> where at least one RB set is not IA</w:t>
      </w:r>
      <w:bookmarkEnd w:id="55"/>
    </w:p>
    <w:p w14:paraId="4C3F6EA9" w14:textId="30CDC1B5" w:rsidR="0078093E" w:rsidRPr="001E7AD0" w:rsidRDefault="00A537DD" w:rsidP="004673AB">
      <w:pPr>
        <w:pStyle w:val="Proposal"/>
        <w:numPr>
          <w:ilvl w:val="1"/>
          <w:numId w:val="3"/>
        </w:numPr>
      </w:pPr>
      <w:bookmarkStart w:id="56" w:name="_Toc87042527"/>
      <w:r w:rsidRPr="001E7AD0">
        <w:t>FDM-S/NA where at least one RB set is IA</w:t>
      </w:r>
      <w:bookmarkEnd w:id="56"/>
    </w:p>
    <w:p w14:paraId="4EB68246" w14:textId="6799DD2F" w:rsidR="006B5FB7" w:rsidRPr="001E7AD0" w:rsidRDefault="006B5FB7" w:rsidP="00FF09B0">
      <w:pPr>
        <w:pStyle w:val="Heading2"/>
        <w:jc w:val="both"/>
        <w:rPr>
          <w:lang w:val="en-US"/>
        </w:rPr>
      </w:pPr>
      <w:r w:rsidRPr="001E7AD0">
        <w:rPr>
          <w:lang w:val="en-US"/>
        </w:rPr>
        <w:t>DL TX power control</w:t>
      </w:r>
    </w:p>
    <w:p w14:paraId="1C285B23" w14:textId="4E4E7939" w:rsidR="006B5FB7" w:rsidRPr="001E7AD0" w:rsidRDefault="006B5FB7" w:rsidP="00FF09B0">
      <w:pPr>
        <w:jc w:val="both"/>
        <w:rPr>
          <w:lang w:eastAsia="ja-JP"/>
        </w:rPr>
      </w:pPr>
      <w:r w:rsidRPr="001E7AD0">
        <w:rPr>
          <w:lang w:eastAsia="ja-JP"/>
        </w:rPr>
        <w:t xml:space="preserve">The following was agreed regarding DL </w:t>
      </w:r>
      <w:r w:rsidR="00CD0974" w:rsidRPr="001E7AD0">
        <w:rPr>
          <w:lang w:eastAsia="ja-JP"/>
        </w:rPr>
        <w:t xml:space="preserve">TX </w:t>
      </w:r>
      <w:r w:rsidRPr="001E7AD0">
        <w:rPr>
          <w:lang w:eastAsia="ja-JP"/>
        </w:rPr>
        <w:t>power control in RAN1 #106</w:t>
      </w:r>
      <w:r w:rsidR="005C7925" w:rsidRPr="001E7AD0">
        <w:rPr>
          <w:lang w:eastAsia="ja-JP"/>
        </w:rPr>
        <w:t>-bis</w:t>
      </w:r>
      <w:r w:rsidRPr="001E7AD0">
        <w:rPr>
          <w:lang w:eastAsia="ja-JP"/>
        </w:rPr>
        <w:t>-e:</w:t>
      </w:r>
    </w:p>
    <w:tbl>
      <w:tblPr>
        <w:tblStyle w:val="TableGrid"/>
        <w:tblW w:w="0" w:type="auto"/>
        <w:tblLook w:val="04A0" w:firstRow="1" w:lastRow="0" w:firstColumn="1" w:lastColumn="0" w:noHBand="0" w:noVBand="1"/>
      </w:tblPr>
      <w:tblGrid>
        <w:gridCol w:w="9629"/>
      </w:tblGrid>
      <w:tr w:rsidR="001956C5" w:rsidRPr="001E7AD0" w14:paraId="7DBDD0C1" w14:textId="77777777" w:rsidTr="00483A02">
        <w:tc>
          <w:tcPr>
            <w:tcW w:w="9629" w:type="dxa"/>
          </w:tcPr>
          <w:p w14:paraId="6FE91155" w14:textId="77777777" w:rsidR="00DD70BA" w:rsidRPr="001E7AD0" w:rsidRDefault="00DD70BA" w:rsidP="00DD70BA">
            <w:pPr>
              <w:rPr>
                <w:rFonts w:eastAsia="Batang" w:cs="Arial"/>
                <w:b/>
                <w:bCs/>
                <w:sz w:val="20"/>
                <w:szCs w:val="20"/>
                <w:highlight w:val="green"/>
              </w:rPr>
            </w:pPr>
            <w:r w:rsidRPr="001E7AD0">
              <w:rPr>
                <w:rFonts w:cs="Arial"/>
                <w:b/>
                <w:bCs/>
                <w:sz w:val="20"/>
                <w:szCs w:val="20"/>
                <w:highlight w:val="green"/>
              </w:rPr>
              <w:t>Agreement</w:t>
            </w:r>
          </w:p>
          <w:p w14:paraId="5B4AE4FC" w14:textId="77777777" w:rsidR="00DD70BA" w:rsidRPr="001E7AD0" w:rsidRDefault="00DD70BA" w:rsidP="00DD70BA">
            <w:pPr>
              <w:rPr>
                <w:rFonts w:eastAsia="Calibri" w:cs="Arial"/>
                <w:bCs/>
                <w:sz w:val="20"/>
                <w:szCs w:val="20"/>
              </w:rPr>
            </w:pPr>
            <w:r w:rsidRPr="001E7AD0">
              <w:rPr>
                <w:rFonts w:eastAsia="Calibri" w:cs="Arial"/>
                <w:bCs/>
                <w:sz w:val="20"/>
                <w:szCs w:val="20"/>
              </w:rPr>
              <w:t>The following alternative is selected for the association between the indicated parent-node’s DL TX power adjustment, provided by an IAB-MT to its parent-node, and IAB-node’s resources and/or configurations:</w:t>
            </w:r>
          </w:p>
          <w:p w14:paraId="633F822B" w14:textId="77777777" w:rsidR="00DD70BA" w:rsidRPr="001E7AD0" w:rsidRDefault="00DD70BA" w:rsidP="00DD70BA">
            <w:pPr>
              <w:pStyle w:val="ListParagraph"/>
              <w:numPr>
                <w:ilvl w:val="0"/>
                <w:numId w:val="43"/>
              </w:numPr>
              <w:spacing w:line="240" w:lineRule="auto"/>
              <w:contextualSpacing/>
              <w:textAlignment w:val="baseline"/>
              <w:rPr>
                <w:rFonts w:ascii="Arial" w:eastAsia="Batang" w:hAnsi="Arial" w:cs="Arial"/>
                <w:bCs/>
                <w:sz w:val="20"/>
                <w:szCs w:val="20"/>
                <w:lang w:val="en-US"/>
              </w:rPr>
            </w:pPr>
            <w:r w:rsidRPr="001E7AD0">
              <w:rPr>
                <w:rFonts w:ascii="Arial" w:hAnsi="Arial" w:cs="Arial"/>
                <w:bCs/>
                <w:sz w:val="20"/>
                <w:szCs w:val="20"/>
                <w:lang w:val="en-US"/>
              </w:rPr>
              <w:t>Alt 2.</w:t>
            </w:r>
            <w:r w:rsidRPr="001E7AD0">
              <w:rPr>
                <w:rFonts w:ascii="Arial" w:hAnsi="Arial" w:cs="Arial"/>
                <w:sz w:val="20"/>
                <w:szCs w:val="20"/>
                <w:lang w:val="en-US"/>
              </w:rPr>
              <w:t xml:space="preserve"> </w:t>
            </w:r>
            <w:r w:rsidRPr="001E7AD0">
              <w:rPr>
                <w:rFonts w:ascii="Arial" w:hAnsi="Arial" w:cs="Arial"/>
                <w:bCs/>
                <w:sz w:val="20"/>
                <w:szCs w:val="20"/>
                <w:lang w:val="en-US"/>
              </w:rPr>
              <w:t>The desired DL TX power adjustment is indicated to be associated with some combination (one or multiple) of the following IAB-node’s configurations:</w:t>
            </w:r>
          </w:p>
          <w:p w14:paraId="167197AC" w14:textId="77777777" w:rsidR="00DD70BA" w:rsidRPr="001E7AD0" w:rsidRDefault="00DD70BA" w:rsidP="00DD70BA">
            <w:pPr>
              <w:pStyle w:val="ListParagraph"/>
              <w:numPr>
                <w:ilvl w:val="1"/>
                <w:numId w:val="43"/>
              </w:numPr>
              <w:spacing w:line="240" w:lineRule="auto"/>
              <w:contextualSpacing/>
              <w:textAlignment w:val="baseline"/>
              <w:rPr>
                <w:rFonts w:ascii="Arial" w:hAnsi="Arial" w:cs="Arial"/>
                <w:bCs/>
                <w:sz w:val="20"/>
                <w:szCs w:val="20"/>
                <w:lang w:val="en-US"/>
              </w:rPr>
            </w:pPr>
            <w:r w:rsidRPr="001E7AD0">
              <w:rPr>
                <w:rFonts w:ascii="Arial" w:hAnsi="Arial" w:cs="Arial"/>
                <w:bCs/>
                <w:sz w:val="20"/>
                <w:szCs w:val="20"/>
                <w:lang w:val="en-US"/>
              </w:rPr>
              <w:t>Multiplexing mode</w:t>
            </w:r>
          </w:p>
          <w:p w14:paraId="1ED4521D" w14:textId="77777777" w:rsidR="00DD70BA" w:rsidRPr="001E7AD0" w:rsidRDefault="00DD70BA" w:rsidP="00DD70BA">
            <w:pPr>
              <w:pStyle w:val="ListParagraph"/>
              <w:numPr>
                <w:ilvl w:val="1"/>
                <w:numId w:val="43"/>
              </w:numPr>
              <w:spacing w:line="240" w:lineRule="auto"/>
              <w:contextualSpacing/>
              <w:textAlignment w:val="baseline"/>
              <w:rPr>
                <w:rFonts w:ascii="Arial" w:hAnsi="Arial" w:cs="Arial"/>
                <w:bCs/>
                <w:sz w:val="20"/>
                <w:szCs w:val="20"/>
                <w:lang w:val="en-US"/>
              </w:rPr>
            </w:pPr>
            <w:r w:rsidRPr="001E7AD0">
              <w:rPr>
                <w:rFonts w:ascii="Arial" w:hAnsi="Arial" w:cs="Arial"/>
                <w:bCs/>
                <w:sz w:val="20"/>
                <w:szCs w:val="20"/>
                <w:lang w:val="en-US"/>
              </w:rPr>
              <w:t>MT’s DL beam (</w:t>
            </w:r>
            <w:proofErr w:type="gramStart"/>
            <w:r w:rsidRPr="001E7AD0">
              <w:rPr>
                <w:rFonts w:ascii="Arial" w:hAnsi="Arial" w:cs="Arial"/>
                <w:bCs/>
                <w:sz w:val="20"/>
                <w:szCs w:val="20"/>
                <w:lang w:val="en-US"/>
              </w:rPr>
              <w:t>e.g.</w:t>
            </w:r>
            <w:proofErr w:type="gramEnd"/>
            <w:r w:rsidRPr="001E7AD0">
              <w:rPr>
                <w:rFonts w:ascii="Arial" w:hAnsi="Arial" w:cs="Arial"/>
                <w:bCs/>
                <w:sz w:val="20"/>
                <w:szCs w:val="20"/>
                <w:lang w:val="en-US"/>
              </w:rPr>
              <w:t xml:space="preserve"> TCI state id)</w:t>
            </w:r>
          </w:p>
          <w:p w14:paraId="525EF7F4" w14:textId="77777777" w:rsidR="00DD70BA" w:rsidRPr="001E7AD0" w:rsidRDefault="00DD70BA" w:rsidP="00DD70BA">
            <w:pPr>
              <w:pStyle w:val="ListParagraph"/>
              <w:numPr>
                <w:ilvl w:val="1"/>
                <w:numId w:val="43"/>
              </w:numPr>
              <w:spacing w:line="240" w:lineRule="auto"/>
              <w:contextualSpacing/>
              <w:textAlignment w:val="baseline"/>
              <w:rPr>
                <w:rFonts w:ascii="Arial" w:hAnsi="Arial" w:cs="Arial"/>
                <w:bCs/>
                <w:sz w:val="20"/>
                <w:szCs w:val="20"/>
                <w:lang w:val="en-US"/>
              </w:rPr>
            </w:pPr>
            <w:r w:rsidRPr="001E7AD0">
              <w:rPr>
                <w:rFonts w:ascii="Arial" w:hAnsi="Arial" w:cs="Arial"/>
                <w:bCs/>
                <w:sz w:val="20"/>
                <w:szCs w:val="20"/>
                <w:lang w:val="en-US"/>
              </w:rPr>
              <w:t>(MT CC, DU cell) pair</w:t>
            </w:r>
          </w:p>
          <w:p w14:paraId="205B282E" w14:textId="77777777" w:rsidR="00DD70BA" w:rsidRPr="001E7AD0" w:rsidRDefault="00DD70BA" w:rsidP="00DD70BA">
            <w:pPr>
              <w:pStyle w:val="ListParagraph"/>
              <w:numPr>
                <w:ilvl w:val="1"/>
                <w:numId w:val="43"/>
              </w:numPr>
              <w:spacing w:line="240" w:lineRule="auto"/>
              <w:contextualSpacing/>
              <w:textAlignment w:val="baseline"/>
              <w:rPr>
                <w:rFonts w:ascii="Arial" w:hAnsi="Arial" w:cs="Arial"/>
                <w:bCs/>
                <w:sz w:val="20"/>
                <w:szCs w:val="20"/>
                <w:lang w:val="en-US"/>
              </w:rPr>
            </w:pPr>
            <w:r w:rsidRPr="001E7AD0">
              <w:rPr>
                <w:rFonts w:ascii="Arial" w:hAnsi="Arial" w:cs="Arial"/>
                <w:bCs/>
                <w:sz w:val="20"/>
                <w:szCs w:val="20"/>
                <w:lang w:val="en-US"/>
              </w:rPr>
              <w:t>DU resource configuration</w:t>
            </w:r>
          </w:p>
          <w:p w14:paraId="64212CB3" w14:textId="7A411727" w:rsidR="00DD70BA" w:rsidRPr="001E7AD0" w:rsidRDefault="00DD70BA" w:rsidP="00DD70BA">
            <w:pPr>
              <w:pStyle w:val="ListParagraph"/>
              <w:numPr>
                <w:ilvl w:val="1"/>
                <w:numId w:val="43"/>
              </w:numPr>
              <w:spacing w:line="240" w:lineRule="auto"/>
              <w:contextualSpacing/>
              <w:textAlignment w:val="baseline"/>
              <w:rPr>
                <w:rFonts w:ascii="Arial" w:hAnsi="Arial" w:cs="Arial"/>
                <w:bCs/>
                <w:sz w:val="20"/>
                <w:szCs w:val="20"/>
                <w:lang w:val="en-US"/>
              </w:rPr>
            </w:pPr>
            <w:r w:rsidRPr="001E7AD0">
              <w:rPr>
                <w:rFonts w:ascii="Arial" w:hAnsi="Arial" w:cs="Arial"/>
                <w:bCs/>
                <w:sz w:val="20"/>
                <w:szCs w:val="20"/>
                <w:lang w:val="en-US"/>
              </w:rPr>
              <w:t>FFS: Slot index</w:t>
            </w:r>
          </w:p>
          <w:p w14:paraId="67BCAD83" w14:textId="77777777" w:rsidR="00DD70BA" w:rsidRPr="001E7AD0" w:rsidRDefault="00DD70BA" w:rsidP="00DD70BA">
            <w:pPr>
              <w:pStyle w:val="ListParagraph"/>
              <w:numPr>
                <w:ilvl w:val="1"/>
                <w:numId w:val="43"/>
              </w:numPr>
              <w:spacing w:line="240" w:lineRule="auto"/>
              <w:contextualSpacing/>
              <w:textAlignment w:val="baseline"/>
              <w:rPr>
                <w:rFonts w:ascii="Arial" w:hAnsi="Arial" w:cs="Arial"/>
                <w:bCs/>
                <w:sz w:val="20"/>
                <w:szCs w:val="20"/>
                <w:lang w:val="en-US"/>
              </w:rPr>
            </w:pPr>
            <w:r w:rsidRPr="001E7AD0">
              <w:rPr>
                <w:rFonts w:ascii="Arial" w:hAnsi="Arial" w:cs="Arial"/>
                <w:bCs/>
                <w:sz w:val="20"/>
                <w:szCs w:val="20"/>
                <w:lang w:val="en-US"/>
              </w:rPr>
              <w:t>FFS: timing mode (e.g., Case-7 timing)</w:t>
            </w:r>
          </w:p>
          <w:p w14:paraId="76F4B27D" w14:textId="77777777" w:rsidR="001A1415" w:rsidRPr="001E7AD0" w:rsidRDefault="001A1415" w:rsidP="00DD70BA">
            <w:pPr>
              <w:spacing w:line="240" w:lineRule="auto"/>
              <w:jc w:val="both"/>
              <w:rPr>
                <w:rFonts w:cs="Arial"/>
                <w:b/>
                <w:bCs/>
                <w:sz w:val="20"/>
                <w:szCs w:val="20"/>
                <w:highlight w:val="green"/>
                <w:lang w:eastAsia="ja-JP"/>
              </w:rPr>
            </w:pPr>
          </w:p>
          <w:p w14:paraId="37A362A5" w14:textId="2671CDE6" w:rsidR="00DD70BA" w:rsidRPr="001E7AD0" w:rsidRDefault="00DD70BA" w:rsidP="00DD70BA">
            <w:pPr>
              <w:spacing w:line="240" w:lineRule="auto"/>
              <w:jc w:val="both"/>
              <w:rPr>
                <w:rFonts w:cs="Arial"/>
                <w:b/>
                <w:bCs/>
                <w:sz w:val="20"/>
                <w:szCs w:val="20"/>
                <w:lang w:eastAsia="ja-JP"/>
              </w:rPr>
            </w:pPr>
            <w:r w:rsidRPr="001E7AD0">
              <w:rPr>
                <w:rFonts w:cs="Arial"/>
                <w:b/>
                <w:bCs/>
                <w:sz w:val="20"/>
                <w:szCs w:val="20"/>
                <w:highlight w:val="green"/>
                <w:lang w:eastAsia="ja-JP"/>
              </w:rPr>
              <w:t>Agreement</w:t>
            </w:r>
          </w:p>
          <w:p w14:paraId="6A3F390A" w14:textId="77777777" w:rsidR="002F7D14" w:rsidRPr="001E7AD0" w:rsidRDefault="00DD70BA" w:rsidP="00DD70BA">
            <w:pPr>
              <w:spacing w:line="240" w:lineRule="auto"/>
              <w:jc w:val="both"/>
              <w:rPr>
                <w:rFonts w:cs="Arial"/>
                <w:sz w:val="20"/>
                <w:szCs w:val="20"/>
                <w:lang w:eastAsia="ja-JP"/>
              </w:rPr>
            </w:pPr>
            <w:r w:rsidRPr="001E7AD0">
              <w:rPr>
                <w:rFonts w:cs="Arial"/>
                <w:sz w:val="20"/>
                <w:szCs w:val="20"/>
                <w:lang w:eastAsia="ja-JP"/>
              </w:rPr>
              <w:lastRenderedPageBreak/>
              <w:t>The desired parent-node’s DL TX power adjustment, provided by an IAB-MT to its parent-node, is indicated via MAC-CE.</w:t>
            </w:r>
          </w:p>
          <w:p w14:paraId="5BD30CC0" w14:textId="77777777" w:rsidR="002F7D14" w:rsidRPr="001E7AD0" w:rsidRDefault="00DD70BA" w:rsidP="00DD70BA">
            <w:pPr>
              <w:pStyle w:val="ListParagraph"/>
              <w:numPr>
                <w:ilvl w:val="0"/>
                <w:numId w:val="39"/>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The indication further includes the associated configurations and/or resources for which the indicated power adjustment is applicable.</w:t>
            </w:r>
          </w:p>
          <w:p w14:paraId="06CCBD57" w14:textId="77777777" w:rsidR="002F7D14" w:rsidRPr="001E7AD0" w:rsidRDefault="00DD70BA" w:rsidP="00DD70BA">
            <w:pPr>
              <w:pStyle w:val="ListParagraph"/>
              <w:numPr>
                <w:ilvl w:val="0"/>
                <w:numId w:val="39"/>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 xml:space="preserve">The indicated adjustment is in terms of a relative offset to a reference DL TX power. </w:t>
            </w:r>
          </w:p>
          <w:p w14:paraId="2367FEB9" w14:textId="77777777" w:rsidR="002F7D14" w:rsidRPr="001E7AD0" w:rsidRDefault="00DD70BA" w:rsidP="00DD70BA">
            <w:pPr>
              <w:pStyle w:val="ListParagraph"/>
              <w:numPr>
                <w:ilvl w:val="1"/>
                <w:numId w:val="39"/>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 xml:space="preserve">FFS: the reference power (e.g., an RS such as CSI-RS, </w:t>
            </w:r>
            <w:proofErr w:type="spellStart"/>
            <w:r w:rsidRPr="001E7AD0">
              <w:rPr>
                <w:rFonts w:ascii="Arial" w:hAnsi="Arial" w:cs="Arial"/>
                <w:sz w:val="20"/>
                <w:szCs w:val="20"/>
                <w:lang w:val="en-US" w:eastAsia="ja-JP"/>
              </w:rPr>
              <w:t>etc</w:t>
            </w:r>
            <w:proofErr w:type="spellEnd"/>
            <w:r w:rsidRPr="001E7AD0">
              <w:rPr>
                <w:rFonts w:ascii="Arial" w:hAnsi="Arial" w:cs="Arial"/>
                <w:sz w:val="20"/>
                <w:szCs w:val="20"/>
                <w:lang w:val="en-US" w:eastAsia="ja-JP"/>
              </w:rPr>
              <w:t>) for the indication of desired adjustment.</w:t>
            </w:r>
          </w:p>
          <w:p w14:paraId="766C0C7D" w14:textId="46D6397B" w:rsidR="00483A02" w:rsidRPr="001E7AD0" w:rsidRDefault="00DD70BA" w:rsidP="00DD70BA">
            <w:pPr>
              <w:pStyle w:val="ListParagraph"/>
              <w:numPr>
                <w:ilvl w:val="1"/>
                <w:numId w:val="39"/>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FFS: the range of values for the indicated adjustment.</w:t>
            </w:r>
          </w:p>
          <w:p w14:paraId="06111422" w14:textId="77777777" w:rsidR="001A1415" w:rsidRPr="001E7AD0" w:rsidRDefault="001A1415" w:rsidP="002B2DE9">
            <w:pPr>
              <w:spacing w:line="240" w:lineRule="auto"/>
              <w:jc w:val="both"/>
              <w:rPr>
                <w:rFonts w:cs="Arial"/>
                <w:b/>
                <w:bCs/>
                <w:sz w:val="20"/>
                <w:szCs w:val="20"/>
                <w:highlight w:val="green"/>
                <w:lang w:eastAsia="ja-JP"/>
              </w:rPr>
            </w:pPr>
          </w:p>
          <w:p w14:paraId="32A6A368" w14:textId="24705F9F" w:rsidR="002B2DE9" w:rsidRPr="001E7AD0" w:rsidRDefault="002B2DE9" w:rsidP="002B2DE9">
            <w:pPr>
              <w:spacing w:line="240" w:lineRule="auto"/>
              <w:jc w:val="both"/>
              <w:rPr>
                <w:rFonts w:cs="Arial"/>
                <w:b/>
                <w:bCs/>
                <w:sz w:val="20"/>
                <w:szCs w:val="20"/>
                <w:lang w:eastAsia="ja-JP"/>
              </w:rPr>
            </w:pPr>
            <w:r w:rsidRPr="001E7AD0">
              <w:rPr>
                <w:rFonts w:cs="Arial"/>
                <w:b/>
                <w:bCs/>
                <w:sz w:val="20"/>
                <w:szCs w:val="20"/>
                <w:highlight w:val="green"/>
                <w:lang w:eastAsia="ja-JP"/>
              </w:rPr>
              <w:t>Agreement</w:t>
            </w:r>
          </w:p>
          <w:p w14:paraId="3DD78FC5" w14:textId="77777777" w:rsidR="002B2DE9" w:rsidRPr="001E7AD0" w:rsidRDefault="002B2DE9" w:rsidP="002B2DE9">
            <w:pPr>
              <w:spacing w:line="240" w:lineRule="auto"/>
              <w:jc w:val="both"/>
              <w:rPr>
                <w:rFonts w:cs="Arial"/>
                <w:sz w:val="20"/>
                <w:szCs w:val="20"/>
                <w:lang w:eastAsia="ja-JP"/>
              </w:rPr>
            </w:pPr>
            <w:r w:rsidRPr="001E7AD0">
              <w:rPr>
                <w:rFonts w:cs="Arial"/>
                <w:sz w:val="20"/>
                <w:szCs w:val="20"/>
                <w:lang w:eastAsia="ja-JP"/>
              </w:rPr>
              <w:t>The DL TX power adjustment, provided by the parent-node to IAB-MT, is indicated to be associated with some combination (one or multiple) of the following IAB-node’s configurations:</w:t>
            </w:r>
          </w:p>
          <w:p w14:paraId="11B33AE2" w14:textId="12072757" w:rsidR="002B2DE9" w:rsidRPr="001E7AD0" w:rsidRDefault="002B2DE9" w:rsidP="002F7D14">
            <w:pPr>
              <w:pStyle w:val="ListParagraph"/>
              <w:numPr>
                <w:ilvl w:val="0"/>
                <w:numId w:val="40"/>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 xml:space="preserve">Multiplexing mode </w:t>
            </w:r>
          </w:p>
          <w:p w14:paraId="23E69A10" w14:textId="4D08A900" w:rsidR="002B2DE9" w:rsidRPr="001E7AD0" w:rsidRDefault="002B2DE9" w:rsidP="002F7D14">
            <w:pPr>
              <w:pStyle w:val="ListParagraph"/>
              <w:numPr>
                <w:ilvl w:val="0"/>
                <w:numId w:val="40"/>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MT’s DL beam (e.g., TCI state id, RS id)</w:t>
            </w:r>
          </w:p>
          <w:p w14:paraId="60B126DC" w14:textId="4EE1ACCD" w:rsidR="002B2DE9" w:rsidRPr="001E7AD0" w:rsidRDefault="002B2DE9" w:rsidP="002F7D14">
            <w:pPr>
              <w:pStyle w:val="ListParagraph"/>
              <w:numPr>
                <w:ilvl w:val="0"/>
                <w:numId w:val="40"/>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(MT CC, DU cell) pair</w:t>
            </w:r>
          </w:p>
          <w:p w14:paraId="072CB7F7" w14:textId="53BEA276" w:rsidR="002B2DE9" w:rsidRPr="001E7AD0" w:rsidRDefault="002B2DE9" w:rsidP="002F7D14">
            <w:pPr>
              <w:pStyle w:val="ListParagraph"/>
              <w:numPr>
                <w:ilvl w:val="0"/>
                <w:numId w:val="40"/>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DU resource configuration</w:t>
            </w:r>
          </w:p>
          <w:p w14:paraId="599A43BD" w14:textId="5CB608E5" w:rsidR="002B2DE9" w:rsidRPr="001E7AD0" w:rsidRDefault="002B2DE9" w:rsidP="002F7D14">
            <w:pPr>
              <w:pStyle w:val="ListParagraph"/>
              <w:numPr>
                <w:ilvl w:val="0"/>
                <w:numId w:val="40"/>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FFS: DL signal/channel type</w:t>
            </w:r>
          </w:p>
          <w:p w14:paraId="0E258EAB" w14:textId="242A3747" w:rsidR="002B2DE9" w:rsidRPr="001E7AD0" w:rsidRDefault="002B2DE9" w:rsidP="002F7D14">
            <w:pPr>
              <w:pStyle w:val="ListParagraph"/>
              <w:numPr>
                <w:ilvl w:val="0"/>
                <w:numId w:val="40"/>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FFS: slot index</w:t>
            </w:r>
          </w:p>
          <w:p w14:paraId="3319C100" w14:textId="02F10A98" w:rsidR="001A1415" w:rsidRPr="001E7AD0" w:rsidRDefault="002B2DE9" w:rsidP="002F7D14">
            <w:pPr>
              <w:pStyle w:val="ListParagraph"/>
              <w:numPr>
                <w:ilvl w:val="0"/>
                <w:numId w:val="40"/>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FFS: timing mode (e.g., Case-7 timing)</w:t>
            </w:r>
          </w:p>
          <w:p w14:paraId="79D1AA01" w14:textId="77777777" w:rsidR="001A1415" w:rsidRPr="001E7AD0" w:rsidRDefault="001A1415" w:rsidP="002B2DE9">
            <w:pPr>
              <w:spacing w:line="240" w:lineRule="auto"/>
              <w:jc w:val="both"/>
              <w:rPr>
                <w:rFonts w:cs="Arial"/>
                <w:b/>
                <w:bCs/>
                <w:sz w:val="20"/>
                <w:szCs w:val="20"/>
                <w:highlight w:val="green"/>
                <w:lang w:eastAsia="ja-JP"/>
              </w:rPr>
            </w:pPr>
          </w:p>
          <w:p w14:paraId="398F7B50" w14:textId="7E0DFDE1" w:rsidR="002B2DE9" w:rsidRPr="001E7AD0" w:rsidRDefault="002B2DE9" w:rsidP="002B2DE9">
            <w:pPr>
              <w:spacing w:line="240" w:lineRule="auto"/>
              <w:jc w:val="both"/>
              <w:rPr>
                <w:rFonts w:cs="Arial"/>
                <w:sz w:val="20"/>
                <w:szCs w:val="20"/>
                <w:lang w:eastAsia="ja-JP"/>
              </w:rPr>
            </w:pPr>
            <w:r w:rsidRPr="001E7AD0">
              <w:rPr>
                <w:rFonts w:cs="Arial"/>
                <w:b/>
                <w:bCs/>
                <w:sz w:val="20"/>
                <w:szCs w:val="20"/>
                <w:highlight w:val="green"/>
                <w:lang w:eastAsia="ja-JP"/>
              </w:rPr>
              <w:t>Agreement</w:t>
            </w:r>
          </w:p>
          <w:p w14:paraId="507A8441" w14:textId="77777777" w:rsidR="002B2DE9" w:rsidRPr="001E7AD0" w:rsidRDefault="002B2DE9" w:rsidP="002B2DE9">
            <w:pPr>
              <w:spacing w:line="240" w:lineRule="auto"/>
              <w:jc w:val="both"/>
              <w:rPr>
                <w:rFonts w:cs="Arial"/>
                <w:sz w:val="20"/>
                <w:szCs w:val="20"/>
                <w:lang w:eastAsia="ja-JP"/>
              </w:rPr>
            </w:pPr>
            <w:r w:rsidRPr="001E7AD0">
              <w:rPr>
                <w:rFonts w:cs="Arial"/>
                <w:sz w:val="20"/>
                <w:szCs w:val="20"/>
                <w:lang w:eastAsia="ja-JP"/>
              </w:rPr>
              <w:t>The DL TX power adjustment, provided by the parent-node to the IAB-MT, is indicated via MAC-CE.</w:t>
            </w:r>
          </w:p>
          <w:p w14:paraId="07308370" w14:textId="584B54EA" w:rsidR="002B2DE9" w:rsidRPr="001E7AD0" w:rsidRDefault="002B2DE9" w:rsidP="002F7D14">
            <w:pPr>
              <w:pStyle w:val="ListParagraph"/>
              <w:numPr>
                <w:ilvl w:val="0"/>
                <w:numId w:val="41"/>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The indication further includes the associated configurations and/or resources for which the indicated power adjustment is applicable.</w:t>
            </w:r>
          </w:p>
          <w:p w14:paraId="6B2F20A6" w14:textId="3582C09B" w:rsidR="002B2DE9" w:rsidRPr="001E7AD0" w:rsidRDefault="002B2DE9" w:rsidP="002F7D14">
            <w:pPr>
              <w:pStyle w:val="ListParagraph"/>
              <w:numPr>
                <w:ilvl w:val="0"/>
                <w:numId w:val="41"/>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 xml:space="preserve">The indicated adjustment is in terms of a relative offset to a reference DL TX power. </w:t>
            </w:r>
          </w:p>
          <w:p w14:paraId="0A046CA8" w14:textId="1E29C07F" w:rsidR="002B2DE9" w:rsidRPr="001E7AD0" w:rsidRDefault="002B2DE9" w:rsidP="002F7D14">
            <w:pPr>
              <w:pStyle w:val="ListParagraph"/>
              <w:numPr>
                <w:ilvl w:val="1"/>
                <w:numId w:val="41"/>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 xml:space="preserve">FFS: the reference power (e.g., an RS such as CSI-RS, </w:t>
            </w:r>
            <w:proofErr w:type="spellStart"/>
            <w:r w:rsidRPr="001E7AD0">
              <w:rPr>
                <w:rFonts w:ascii="Arial" w:hAnsi="Arial" w:cs="Arial"/>
                <w:sz w:val="20"/>
                <w:szCs w:val="20"/>
                <w:lang w:val="en-US" w:eastAsia="ja-JP"/>
              </w:rPr>
              <w:t>etc</w:t>
            </w:r>
            <w:proofErr w:type="spellEnd"/>
            <w:r w:rsidRPr="001E7AD0">
              <w:rPr>
                <w:rFonts w:ascii="Arial" w:hAnsi="Arial" w:cs="Arial"/>
                <w:sz w:val="20"/>
                <w:szCs w:val="20"/>
                <w:lang w:val="en-US" w:eastAsia="ja-JP"/>
              </w:rPr>
              <w:t>) for the indication of DL Tx power adjustment.</w:t>
            </w:r>
          </w:p>
          <w:p w14:paraId="66C90F51" w14:textId="6E08FB4A" w:rsidR="002B2DE9" w:rsidRPr="001E7AD0" w:rsidRDefault="002B2DE9" w:rsidP="002F7D14">
            <w:pPr>
              <w:pStyle w:val="ListParagraph"/>
              <w:numPr>
                <w:ilvl w:val="1"/>
                <w:numId w:val="41"/>
              </w:numPr>
              <w:spacing w:line="240" w:lineRule="auto"/>
              <w:jc w:val="both"/>
              <w:rPr>
                <w:rFonts w:ascii="Arial" w:hAnsi="Arial" w:cs="Arial"/>
                <w:sz w:val="20"/>
                <w:szCs w:val="20"/>
                <w:lang w:val="en-US" w:eastAsia="ja-JP"/>
              </w:rPr>
            </w:pPr>
            <w:r w:rsidRPr="001E7AD0">
              <w:rPr>
                <w:rFonts w:ascii="Arial" w:hAnsi="Arial" w:cs="Arial"/>
                <w:sz w:val="20"/>
                <w:szCs w:val="20"/>
                <w:lang w:val="en-US" w:eastAsia="ja-JP"/>
              </w:rPr>
              <w:t xml:space="preserve">FFS: the range of values for the indicated adjustment. </w:t>
            </w:r>
          </w:p>
          <w:p w14:paraId="4A5D8FA9" w14:textId="77777777" w:rsidR="002B2DE9" w:rsidRPr="001E7AD0" w:rsidRDefault="002B2DE9" w:rsidP="002B2DE9">
            <w:pPr>
              <w:spacing w:line="240" w:lineRule="auto"/>
              <w:jc w:val="both"/>
              <w:rPr>
                <w:rFonts w:cs="Arial"/>
                <w:sz w:val="20"/>
                <w:szCs w:val="20"/>
                <w:lang w:eastAsia="ja-JP"/>
              </w:rPr>
            </w:pPr>
            <w:r w:rsidRPr="001E7AD0">
              <w:rPr>
                <w:rFonts w:cs="Arial"/>
                <w:sz w:val="20"/>
                <w:szCs w:val="20"/>
                <w:lang w:eastAsia="ja-JP"/>
              </w:rPr>
              <w:t xml:space="preserve"> </w:t>
            </w:r>
          </w:p>
          <w:p w14:paraId="025D1C31" w14:textId="77777777" w:rsidR="002B2DE9" w:rsidRPr="001E7AD0" w:rsidRDefault="002B2DE9" w:rsidP="002B2DE9">
            <w:pPr>
              <w:spacing w:line="240" w:lineRule="auto"/>
              <w:jc w:val="both"/>
              <w:rPr>
                <w:rFonts w:cs="Arial"/>
                <w:b/>
                <w:bCs/>
                <w:sz w:val="20"/>
                <w:szCs w:val="20"/>
                <w:lang w:eastAsia="ja-JP"/>
              </w:rPr>
            </w:pPr>
            <w:r w:rsidRPr="001E7AD0">
              <w:rPr>
                <w:rFonts w:cs="Arial"/>
                <w:b/>
                <w:bCs/>
                <w:sz w:val="20"/>
                <w:szCs w:val="20"/>
                <w:highlight w:val="green"/>
                <w:lang w:eastAsia="ja-JP"/>
              </w:rPr>
              <w:t>Agreement</w:t>
            </w:r>
          </w:p>
          <w:p w14:paraId="490F3674" w14:textId="77777777" w:rsidR="002B2DE9" w:rsidRPr="001E7AD0" w:rsidRDefault="002B2DE9" w:rsidP="002B2DE9">
            <w:pPr>
              <w:spacing w:line="240" w:lineRule="auto"/>
              <w:jc w:val="both"/>
              <w:rPr>
                <w:rFonts w:cs="Arial"/>
                <w:sz w:val="20"/>
                <w:szCs w:val="20"/>
                <w:lang w:eastAsia="ja-JP"/>
              </w:rPr>
            </w:pPr>
            <w:r w:rsidRPr="001E7AD0">
              <w:rPr>
                <w:rFonts w:cs="Arial"/>
                <w:sz w:val="20"/>
                <w:szCs w:val="20"/>
                <w:lang w:eastAsia="ja-JP"/>
              </w:rPr>
              <w:t>The indicated DL TX power adjustment is not applied to SSBs.</w:t>
            </w:r>
          </w:p>
          <w:p w14:paraId="67A8D1E3" w14:textId="4989DCB2" w:rsidR="00476B18" w:rsidRPr="001E7AD0" w:rsidRDefault="002B2DE9" w:rsidP="00476B18">
            <w:pPr>
              <w:pStyle w:val="ListParagraph"/>
              <w:numPr>
                <w:ilvl w:val="0"/>
                <w:numId w:val="42"/>
              </w:numPr>
              <w:spacing w:line="240" w:lineRule="auto"/>
              <w:jc w:val="both"/>
              <w:rPr>
                <w:rFonts w:cs="Arial"/>
                <w:sz w:val="20"/>
                <w:szCs w:val="20"/>
                <w:lang w:val="en-US" w:eastAsia="ja-JP"/>
              </w:rPr>
            </w:pPr>
            <w:r w:rsidRPr="001E7AD0">
              <w:rPr>
                <w:rFonts w:ascii="Arial" w:hAnsi="Arial" w:cs="Arial"/>
                <w:sz w:val="20"/>
                <w:szCs w:val="20"/>
                <w:lang w:val="en-US" w:eastAsia="ja-JP"/>
              </w:rPr>
              <w:t>FFS: any other cell-specific/semi-static DL signal to be exempted.</w:t>
            </w:r>
          </w:p>
          <w:p w14:paraId="3E55D449" w14:textId="7A698E53" w:rsidR="002B2DE9" w:rsidRPr="001E7AD0" w:rsidRDefault="002B2DE9" w:rsidP="00476B18">
            <w:pPr>
              <w:pStyle w:val="ListParagraph"/>
              <w:numPr>
                <w:ilvl w:val="0"/>
                <w:numId w:val="42"/>
              </w:numPr>
              <w:spacing w:after="240" w:line="240" w:lineRule="auto"/>
              <w:jc w:val="both"/>
              <w:rPr>
                <w:rFonts w:cs="Arial"/>
                <w:sz w:val="20"/>
                <w:szCs w:val="20"/>
                <w:lang w:val="en-US" w:eastAsia="ja-JP"/>
              </w:rPr>
            </w:pPr>
            <w:r w:rsidRPr="001E7AD0">
              <w:rPr>
                <w:rFonts w:ascii="Arial" w:hAnsi="Arial" w:cs="Arial"/>
                <w:sz w:val="20"/>
                <w:szCs w:val="20"/>
                <w:lang w:val="en-US" w:eastAsia="ja-JP"/>
              </w:rPr>
              <w:t>FFS: applicability of the indicated TX power adjustment to other RS/channel which share the same QCL Type-D assumption.</w:t>
            </w:r>
          </w:p>
        </w:tc>
      </w:tr>
    </w:tbl>
    <w:p w14:paraId="521496D5" w14:textId="2E2B11E8" w:rsidR="00F21EA7" w:rsidRPr="001E7AD0" w:rsidRDefault="0061774C" w:rsidP="001E7AD0">
      <w:pPr>
        <w:spacing w:before="240"/>
        <w:jc w:val="both"/>
        <w:rPr>
          <w:rFonts w:cs="Arial"/>
          <w:szCs w:val="20"/>
          <w:lang w:eastAsia="ja-JP"/>
        </w:rPr>
      </w:pPr>
      <w:r w:rsidRPr="001E7AD0">
        <w:lastRenderedPageBreak/>
        <w:t xml:space="preserve">In </w:t>
      </w:r>
      <w:r w:rsidR="00B56D20" w:rsidRPr="001E7AD0">
        <w:t xml:space="preserve">addition to the above discussed parameters </w:t>
      </w:r>
      <w:r w:rsidR="00B56D20" w:rsidRPr="001E7AD0">
        <w:rPr>
          <w:i/>
        </w:rPr>
        <w:t>multiplexing mode</w:t>
      </w:r>
      <w:r w:rsidR="00B56D20" w:rsidRPr="001E7AD0">
        <w:t xml:space="preserve"> and </w:t>
      </w:r>
      <w:r w:rsidR="00B56D20" w:rsidRPr="001E7AD0">
        <w:rPr>
          <w:i/>
        </w:rPr>
        <w:t>DU resource configuration</w:t>
      </w:r>
      <w:r w:rsidR="00B56D20" w:rsidRPr="001E7AD0">
        <w:t xml:space="preserve">, </w:t>
      </w:r>
      <w:r w:rsidRPr="001E7AD0">
        <w:t xml:space="preserve">RAN1 #106bis-e agreed that </w:t>
      </w:r>
      <w:r w:rsidR="00B56D20" w:rsidRPr="001E7AD0">
        <w:t xml:space="preserve">both </w:t>
      </w:r>
      <w:r w:rsidRPr="001E7AD0">
        <w:t>the requested and responded</w:t>
      </w:r>
      <w:r w:rsidR="00B56D20" w:rsidRPr="001E7AD0">
        <w:t xml:space="preserve"> DL TX power control</w:t>
      </w:r>
      <w:r w:rsidRPr="001E7AD0">
        <w:t xml:space="preserve"> </w:t>
      </w:r>
      <w:r w:rsidRPr="001E7AD0">
        <w:rPr>
          <w:rFonts w:cs="Arial"/>
          <w:i/>
          <w:szCs w:val="20"/>
          <w:lang w:eastAsia="ja-JP"/>
        </w:rPr>
        <w:t>is indicated to be associated with some combination (one or multiple) of</w:t>
      </w:r>
      <w:r w:rsidR="00B56D20" w:rsidRPr="001E7AD0">
        <w:t xml:space="preserve"> </w:t>
      </w:r>
      <w:r w:rsidR="00B56D20" w:rsidRPr="001E7AD0">
        <w:rPr>
          <w:rFonts w:cs="Arial"/>
          <w:i/>
          <w:iCs/>
          <w:szCs w:val="20"/>
          <w:lang w:eastAsia="ja-JP"/>
        </w:rPr>
        <w:t xml:space="preserve">MT’s DL beam (e.g., TCI state id, RS id) </w:t>
      </w:r>
      <w:r w:rsidR="00B56D20" w:rsidRPr="001E7AD0">
        <w:rPr>
          <w:rFonts w:cs="Arial"/>
          <w:szCs w:val="20"/>
          <w:lang w:eastAsia="ja-JP"/>
        </w:rPr>
        <w:t xml:space="preserve">and </w:t>
      </w:r>
      <w:r w:rsidR="00B56D20" w:rsidRPr="001E7AD0">
        <w:rPr>
          <w:rFonts w:cs="Arial"/>
          <w:i/>
          <w:iCs/>
          <w:szCs w:val="20"/>
          <w:lang w:eastAsia="ja-JP"/>
        </w:rPr>
        <w:t>(MT CC, DU cell) pair</w:t>
      </w:r>
      <w:r w:rsidR="00B56D20" w:rsidRPr="001E7AD0">
        <w:rPr>
          <w:rFonts w:cs="Arial"/>
          <w:szCs w:val="20"/>
          <w:lang w:eastAsia="ja-JP"/>
        </w:rPr>
        <w:t>. As discussed above, it can be argued whether the increased complexity arising from defining multiple parallel power control loops can be motivated by stationary nodes</w:t>
      </w:r>
      <w:r w:rsidR="0091215A" w:rsidRPr="001E7AD0">
        <w:rPr>
          <w:rFonts w:cs="Arial"/>
          <w:szCs w:val="20"/>
          <w:lang w:eastAsia="ja-JP"/>
        </w:rPr>
        <w:t xml:space="preserve">. </w:t>
      </w:r>
      <w:r w:rsidR="00DE5B94" w:rsidRPr="001E7AD0">
        <w:rPr>
          <w:rFonts w:cs="Arial"/>
          <w:szCs w:val="20"/>
          <w:lang w:eastAsia="ja-JP"/>
        </w:rPr>
        <w:t>Furthermore, considering the assumed stationarity of backhaul links</w:t>
      </w:r>
      <w:r w:rsidR="00B46890" w:rsidRPr="001E7AD0">
        <w:rPr>
          <w:rFonts w:cs="Arial"/>
          <w:szCs w:val="20"/>
          <w:lang w:eastAsia="ja-JP"/>
        </w:rPr>
        <w:t xml:space="preserve"> with only rarely changing TCI states,</w:t>
      </w:r>
      <w:r w:rsidR="00DE5B94" w:rsidRPr="001E7AD0">
        <w:rPr>
          <w:rFonts w:cs="Arial"/>
          <w:szCs w:val="20"/>
          <w:lang w:eastAsia="ja-JP"/>
        </w:rPr>
        <w:t xml:space="preserve"> the value of supporting multiple DL TX power control loops can be disc</w:t>
      </w:r>
      <w:r w:rsidR="00B46890" w:rsidRPr="001E7AD0">
        <w:rPr>
          <w:rFonts w:cs="Arial"/>
          <w:szCs w:val="20"/>
          <w:lang w:eastAsia="ja-JP"/>
        </w:rPr>
        <w:t>ussed</w:t>
      </w:r>
      <w:r w:rsidR="00DE5B94" w:rsidRPr="001E7AD0">
        <w:rPr>
          <w:rFonts w:cs="Arial"/>
          <w:szCs w:val="20"/>
          <w:lang w:eastAsia="ja-JP"/>
        </w:rPr>
        <w:t>.</w:t>
      </w:r>
      <w:r w:rsidR="006E39F0" w:rsidRPr="001E7AD0">
        <w:rPr>
          <w:rFonts w:cs="Arial"/>
          <w:szCs w:val="20"/>
          <w:lang w:eastAsia="ja-JP"/>
        </w:rPr>
        <w:t xml:space="preserve"> </w:t>
      </w:r>
      <w:r w:rsidR="00CF5555" w:rsidRPr="001E7AD0">
        <w:rPr>
          <w:rFonts w:cs="Arial"/>
          <w:szCs w:val="20"/>
          <w:lang w:eastAsia="ja-JP"/>
        </w:rPr>
        <w:t xml:space="preserve">Similarly, </w:t>
      </w:r>
      <w:r w:rsidR="00C16A9C" w:rsidRPr="001E7AD0">
        <w:rPr>
          <w:rFonts w:cs="Arial"/>
          <w:szCs w:val="20"/>
          <w:lang w:eastAsia="ja-JP"/>
        </w:rPr>
        <w:t xml:space="preserve">even if a parent link is composed of multiple </w:t>
      </w:r>
      <w:r w:rsidR="006E39F0" w:rsidRPr="001E7AD0">
        <w:rPr>
          <w:rFonts w:cs="Arial"/>
          <w:szCs w:val="20"/>
          <w:lang w:eastAsia="ja-JP"/>
        </w:rPr>
        <w:t>(MT’s CC, DU cell) pair</w:t>
      </w:r>
      <w:r w:rsidR="00C16A9C" w:rsidRPr="001E7AD0">
        <w:rPr>
          <w:rFonts w:cs="Arial"/>
          <w:szCs w:val="20"/>
          <w:lang w:eastAsia="ja-JP"/>
        </w:rPr>
        <w:t>s, the</w:t>
      </w:r>
      <w:r w:rsidR="002B5F8F" w:rsidRPr="001E7AD0">
        <w:rPr>
          <w:rFonts w:cs="Arial"/>
          <w:szCs w:val="20"/>
          <w:lang w:eastAsia="ja-JP"/>
        </w:rPr>
        <w:t xml:space="preserve"> value of individual DL TX power control per CC in a planned deployment is marginal at best</w:t>
      </w:r>
      <w:r w:rsidR="00D413D4" w:rsidRPr="001E7AD0">
        <w:rPr>
          <w:rFonts w:cs="Arial"/>
          <w:szCs w:val="20"/>
          <w:lang w:eastAsia="ja-JP"/>
        </w:rPr>
        <w:t xml:space="preserve"> and therefore may be pooled</w:t>
      </w:r>
      <w:r w:rsidR="006E39F0" w:rsidRPr="001E7AD0">
        <w:rPr>
          <w:rFonts w:cs="Arial"/>
          <w:szCs w:val="20"/>
          <w:lang w:eastAsia="ja-JP"/>
        </w:rPr>
        <w:t>.</w:t>
      </w:r>
      <w:r w:rsidR="00F21EA7" w:rsidRPr="001E7AD0">
        <w:rPr>
          <w:rFonts w:cs="Arial"/>
          <w:szCs w:val="20"/>
          <w:lang w:eastAsia="ja-JP"/>
        </w:rPr>
        <w:t xml:space="preserve"> Based on the above discussion, and in addition to </w:t>
      </w:r>
      <w:r w:rsidR="00F21EA7" w:rsidRPr="001E7AD0">
        <w:rPr>
          <w:rFonts w:cs="Arial"/>
          <w:szCs w:val="20"/>
          <w:lang w:eastAsia="ja-JP"/>
        </w:rPr>
        <w:fldChar w:fldCharType="begin"/>
      </w:r>
      <w:r w:rsidR="00F21EA7" w:rsidRPr="001E7AD0">
        <w:rPr>
          <w:rFonts w:cs="Arial"/>
          <w:szCs w:val="20"/>
          <w:lang w:eastAsia="ja-JP"/>
        </w:rPr>
        <w:instrText xml:space="preserve"> REF _Ref86776433 \r \h </w:instrText>
      </w:r>
      <w:r w:rsidR="00F21EA7" w:rsidRPr="001E7AD0">
        <w:rPr>
          <w:rFonts w:cs="Arial"/>
          <w:szCs w:val="20"/>
          <w:lang w:eastAsia="ja-JP"/>
        </w:rPr>
      </w:r>
      <w:r w:rsidR="00F21EA7" w:rsidRPr="001E7AD0">
        <w:rPr>
          <w:rFonts w:cs="Arial"/>
          <w:szCs w:val="20"/>
          <w:lang w:eastAsia="ja-JP"/>
        </w:rPr>
        <w:fldChar w:fldCharType="separate"/>
      </w:r>
      <w:r w:rsidR="001853DE">
        <w:rPr>
          <w:rFonts w:cs="Arial"/>
          <w:szCs w:val="20"/>
          <w:lang w:eastAsia="ja-JP"/>
        </w:rPr>
        <w:t>Proposal 14</w:t>
      </w:r>
      <w:r w:rsidR="00F21EA7" w:rsidRPr="001E7AD0">
        <w:rPr>
          <w:rFonts w:cs="Arial"/>
          <w:szCs w:val="20"/>
          <w:lang w:eastAsia="ja-JP"/>
        </w:rPr>
        <w:fldChar w:fldCharType="end"/>
      </w:r>
      <w:r w:rsidR="00F21EA7" w:rsidRPr="001E7AD0">
        <w:rPr>
          <w:rFonts w:cs="Arial"/>
          <w:szCs w:val="20"/>
          <w:lang w:eastAsia="ja-JP"/>
        </w:rPr>
        <w:t>, we propose the following:</w:t>
      </w:r>
    </w:p>
    <w:p w14:paraId="60139AB7" w14:textId="18E5486F" w:rsidR="00FD5E31" w:rsidRPr="001E7AD0" w:rsidRDefault="00FD5E31" w:rsidP="00A60691">
      <w:pPr>
        <w:pStyle w:val="Proposal"/>
      </w:pPr>
      <w:bookmarkStart w:id="57" w:name="_Toc87042528"/>
      <w:r w:rsidRPr="001E7AD0">
        <w:t xml:space="preserve">A single indication </w:t>
      </w:r>
      <w:r w:rsidR="004A1959" w:rsidRPr="001E7AD0">
        <w:t>can be</w:t>
      </w:r>
      <w:r w:rsidRPr="001E7AD0">
        <w:t xml:space="preserve"> used for requested DL TX power control for all combinations of MT’s DL beam and </w:t>
      </w:r>
      <w:r w:rsidR="00EB5225" w:rsidRPr="001E7AD0">
        <w:t>multiple MT</w:t>
      </w:r>
      <w:r w:rsidR="002F0E85" w:rsidRPr="001E7AD0">
        <w:t>’s</w:t>
      </w:r>
      <w:r w:rsidR="00EB5225" w:rsidRPr="001E7AD0">
        <w:t xml:space="preserve"> CCs or DU cells</w:t>
      </w:r>
      <w:r w:rsidRPr="001E7AD0">
        <w:t>.</w:t>
      </w:r>
      <w:bookmarkEnd w:id="57"/>
    </w:p>
    <w:p w14:paraId="018E12AC" w14:textId="4837F658" w:rsidR="00DB10AA" w:rsidRPr="001E7AD0" w:rsidRDefault="00B417B9" w:rsidP="00A60691">
      <w:pPr>
        <w:pStyle w:val="Proposal"/>
      </w:pPr>
      <w:bookmarkStart w:id="58" w:name="_Toc87042529"/>
      <w:r w:rsidRPr="001E7AD0">
        <w:t>A single</w:t>
      </w:r>
      <w:r w:rsidR="005B3F48" w:rsidRPr="001E7AD0">
        <w:t xml:space="preserve"> indication </w:t>
      </w:r>
      <w:r w:rsidR="004A1959" w:rsidRPr="001E7AD0">
        <w:t>can be</w:t>
      </w:r>
      <w:r w:rsidR="005B3F48" w:rsidRPr="001E7AD0">
        <w:t xml:space="preserve"> used for</w:t>
      </w:r>
      <w:r w:rsidR="00F21EA7" w:rsidRPr="001E7AD0">
        <w:t xml:space="preserve"> responded DL TX power control </w:t>
      </w:r>
      <w:r w:rsidR="005B3F48" w:rsidRPr="001E7AD0">
        <w:t xml:space="preserve">for all combinations of </w:t>
      </w:r>
      <w:r w:rsidR="00C77580" w:rsidRPr="001E7AD0">
        <w:t xml:space="preserve">MT’s DL beam and </w:t>
      </w:r>
      <w:r w:rsidR="00947942" w:rsidRPr="001E7AD0">
        <w:t>multiple MT</w:t>
      </w:r>
      <w:r w:rsidR="002F0E85" w:rsidRPr="001E7AD0">
        <w:t>’s</w:t>
      </w:r>
      <w:r w:rsidR="00947942" w:rsidRPr="001E7AD0">
        <w:t xml:space="preserve"> CCs or </w:t>
      </w:r>
      <w:r w:rsidR="00CF5555" w:rsidRPr="001E7AD0">
        <w:t>DU cell</w:t>
      </w:r>
      <w:r w:rsidR="00947942" w:rsidRPr="001E7AD0">
        <w:t>s</w:t>
      </w:r>
      <w:r w:rsidR="00CF5555" w:rsidRPr="001E7AD0">
        <w:t>.</w:t>
      </w:r>
      <w:bookmarkEnd w:id="58"/>
    </w:p>
    <w:p w14:paraId="2F3C6D7B" w14:textId="60835EDF" w:rsidR="00831A58" w:rsidRPr="001E7AD0" w:rsidRDefault="002124E0" w:rsidP="00560E01">
      <w:pPr>
        <w:pStyle w:val="Proposal"/>
        <w:numPr>
          <w:ilvl w:val="0"/>
          <w:numId w:val="0"/>
        </w:numPr>
      </w:pPr>
      <w:bookmarkStart w:id="59" w:name="_Toc87042530"/>
      <w:r w:rsidRPr="001E7AD0">
        <w:t xml:space="preserve">In addition to power control indication, a remaining item is what cell-specific signals in addition to SSB that are exempt from DL TX power control. </w:t>
      </w:r>
      <w:proofErr w:type="gramStart"/>
      <w:r w:rsidRPr="001E7AD0">
        <w:rPr>
          <w:b w:val="0"/>
          <w:bCs w:val="0"/>
        </w:rPr>
        <w:t>In order to</w:t>
      </w:r>
      <w:proofErr w:type="gramEnd"/>
      <w:r w:rsidRPr="001E7AD0">
        <w:rPr>
          <w:b w:val="0"/>
          <w:bCs w:val="0"/>
        </w:rPr>
        <w:t xml:space="preserve"> properly function, </w:t>
      </w:r>
      <w:r w:rsidR="00E3384E" w:rsidRPr="001E7AD0">
        <w:rPr>
          <w:b w:val="0"/>
          <w:bCs w:val="0"/>
        </w:rPr>
        <w:t xml:space="preserve">cell-specific signals cannot be </w:t>
      </w:r>
      <w:r w:rsidR="00E3384E" w:rsidRPr="001E7AD0">
        <w:rPr>
          <w:b w:val="0"/>
          <w:bCs w:val="0"/>
        </w:rPr>
        <w:lastRenderedPageBreak/>
        <w:t>exposed to power control since that would affect cell coverage. Hence, we propose that all cell-specific signals that are treated as Hard are also exempt from DL TX power control.</w:t>
      </w:r>
      <w:bookmarkEnd w:id="59"/>
    </w:p>
    <w:p w14:paraId="61C585D3" w14:textId="56C6C6E7" w:rsidR="00A76DF5" w:rsidRPr="001E7AD0" w:rsidRDefault="00A76DF5" w:rsidP="0083743A">
      <w:pPr>
        <w:pStyle w:val="Proposal"/>
      </w:pPr>
      <w:bookmarkStart w:id="60" w:name="_Toc87042531"/>
      <w:r w:rsidRPr="001E7AD0">
        <w:t xml:space="preserve">Cell-specific signals </w:t>
      </w:r>
      <w:r w:rsidR="00E63CFE" w:rsidRPr="001E7AD0">
        <w:t>are</w:t>
      </w:r>
      <w:r w:rsidR="006F2713" w:rsidRPr="001E7AD0">
        <w:t xml:space="preserve"> </w:t>
      </w:r>
      <w:r w:rsidR="00E3384E" w:rsidRPr="001E7AD0">
        <w:t>exempt from DL TX power control</w:t>
      </w:r>
      <w:r w:rsidRPr="001E7AD0">
        <w:t>.</w:t>
      </w:r>
      <w:bookmarkEnd w:id="60"/>
    </w:p>
    <w:p w14:paraId="759EF93A" w14:textId="28CFDD12" w:rsidR="00566C05" w:rsidRPr="001E7AD0" w:rsidRDefault="006F2713" w:rsidP="0083743A">
      <w:pPr>
        <w:pStyle w:val="Observation"/>
        <w:numPr>
          <w:ilvl w:val="0"/>
          <w:numId w:val="0"/>
        </w:numPr>
      </w:pPr>
      <w:bookmarkStart w:id="61" w:name="_Toc87042508"/>
      <w:r w:rsidRPr="001E7AD0">
        <w:rPr>
          <w:b w:val="0"/>
          <w:bCs w:val="0"/>
        </w:rPr>
        <w:t xml:space="preserve">Considering instead which signals and channels that are </w:t>
      </w:r>
      <w:r w:rsidR="00DD7B4A" w:rsidRPr="001E7AD0">
        <w:rPr>
          <w:b w:val="0"/>
          <w:bCs w:val="0"/>
        </w:rPr>
        <w:t xml:space="preserve">transmitted with </w:t>
      </w:r>
      <w:r w:rsidRPr="001E7AD0">
        <w:rPr>
          <w:b w:val="0"/>
          <w:bCs w:val="0"/>
        </w:rPr>
        <w:t>sufficient</w:t>
      </w:r>
      <w:r w:rsidR="00DD7B4A" w:rsidRPr="001E7AD0">
        <w:rPr>
          <w:b w:val="0"/>
          <w:bCs w:val="0"/>
        </w:rPr>
        <w:t xml:space="preserve"> transmit power </w:t>
      </w:r>
      <w:r w:rsidRPr="001E7AD0">
        <w:rPr>
          <w:b w:val="0"/>
          <w:bCs w:val="0"/>
        </w:rPr>
        <w:t xml:space="preserve">so that a receiving IAB node would benefit from DL TX power control, only PDSCH </w:t>
      </w:r>
      <w:r w:rsidR="00DD7B4A" w:rsidRPr="001E7AD0">
        <w:rPr>
          <w:b w:val="0"/>
          <w:bCs w:val="0"/>
        </w:rPr>
        <w:t>remains</w:t>
      </w:r>
      <w:r w:rsidRPr="001E7AD0">
        <w:rPr>
          <w:b w:val="0"/>
          <w:bCs w:val="0"/>
        </w:rPr>
        <w:t>.</w:t>
      </w:r>
      <w:r w:rsidR="00C3716E" w:rsidRPr="001E7AD0">
        <w:t xml:space="preserve"> </w:t>
      </w:r>
      <w:r w:rsidR="00C3716E" w:rsidRPr="001E7AD0">
        <w:rPr>
          <w:b w:val="0"/>
          <w:bCs w:val="0"/>
        </w:rPr>
        <w:t>By restricting DL TX power control to PDSCH and related CSI-RS, risks are severely minimized</w:t>
      </w:r>
      <w:r w:rsidR="00C3716E" w:rsidRPr="001E7AD0">
        <w:t xml:space="preserve"> </w:t>
      </w:r>
      <w:r w:rsidR="00C3716E" w:rsidRPr="001E7AD0">
        <w:rPr>
          <w:b w:val="0"/>
          <w:bCs w:val="0"/>
        </w:rPr>
        <w:t>with only marginal performance loss.</w:t>
      </w:r>
      <w:bookmarkEnd w:id="61"/>
    </w:p>
    <w:p w14:paraId="19647D55" w14:textId="3CC90280" w:rsidR="00184BE5" w:rsidRPr="001E7AD0" w:rsidRDefault="005122AA" w:rsidP="00EA5D55">
      <w:pPr>
        <w:pStyle w:val="Proposal"/>
      </w:pPr>
      <w:bookmarkStart w:id="62" w:name="_Toc87042532"/>
      <w:r w:rsidRPr="001E7AD0">
        <w:t>DL TX power adjustment</w:t>
      </w:r>
      <w:r w:rsidR="003F3602" w:rsidRPr="001E7AD0">
        <w:t xml:space="preserve"> </w:t>
      </w:r>
      <w:r w:rsidR="006A34A2" w:rsidRPr="001E7AD0">
        <w:t>is applied to PDSCH</w:t>
      </w:r>
      <w:r w:rsidR="00C3716E" w:rsidRPr="001E7AD0">
        <w:t xml:space="preserve"> and </w:t>
      </w:r>
      <w:r w:rsidR="00682D7F" w:rsidRPr="001E7AD0">
        <w:t>associated</w:t>
      </w:r>
      <w:r w:rsidR="00C3716E" w:rsidRPr="001E7AD0">
        <w:t xml:space="preserve"> CSI-RS</w:t>
      </w:r>
      <w:r w:rsidR="00184BE5" w:rsidRPr="001E7AD0">
        <w:t>.</w:t>
      </w:r>
      <w:bookmarkEnd w:id="62"/>
    </w:p>
    <w:p w14:paraId="372344F7" w14:textId="58D3C1D2" w:rsidR="00B87716" w:rsidRPr="001E7AD0" w:rsidRDefault="005E5D81" w:rsidP="00086BF7">
      <w:pPr>
        <w:jc w:val="both"/>
      </w:pPr>
      <w:r w:rsidRPr="001E7AD0">
        <w:rPr>
          <w:bCs/>
        </w:rPr>
        <w:t xml:space="preserve">Finally, </w:t>
      </w:r>
      <w:r w:rsidR="00AD42C9" w:rsidRPr="001E7AD0">
        <w:rPr>
          <w:bCs/>
        </w:rPr>
        <w:t xml:space="preserve">in </w:t>
      </w:r>
      <w:r w:rsidR="00780331" w:rsidRPr="001E7AD0">
        <w:rPr>
          <w:bCs/>
        </w:rPr>
        <w:t>RAN1 #106-bis-e</w:t>
      </w:r>
      <w:r w:rsidR="00342FCD" w:rsidRPr="001E7AD0">
        <w:rPr>
          <w:bCs/>
        </w:rPr>
        <w:t xml:space="preserve">, </w:t>
      </w:r>
      <w:r w:rsidR="00CE7C40" w:rsidRPr="001E7AD0">
        <w:rPr>
          <w:bCs/>
        </w:rPr>
        <w:t>it was agreed to study the appro</w:t>
      </w:r>
      <w:r w:rsidR="00DA2D16" w:rsidRPr="001E7AD0">
        <w:rPr>
          <w:bCs/>
        </w:rPr>
        <w:t xml:space="preserve">priate range of both indicated and provided </w:t>
      </w:r>
      <w:r w:rsidR="009D78FA" w:rsidRPr="001E7AD0">
        <w:rPr>
          <w:bCs/>
        </w:rPr>
        <w:t xml:space="preserve">DL TX power </w:t>
      </w:r>
      <w:r w:rsidR="00780331" w:rsidRPr="001E7AD0">
        <w:rPr>
          <w:bCs/>
        </w:rPr>
        <w:t>adjustment</w:t>
      </w:r>
      <w:r w:rsidR="009D78FA" w:rsidRPr="001E7AD0">
        <w:rPr>
          <w:bCs/>
        </w:rPr>
        <w:t>.</w:t>
      </w:r>
      <w:r w:rsidR="00780331" w:rsidRPr="001E7AD0">
        <w:rPr>
          <w:bCs/>
        </w:rPr>
        <w:t xml:space="preserve"> Here,</w:t>
      </w:r>
      <w:r w:rsidR="007473B5" w:rsidRPr="001E7AD0">
        <w:rPr>
          <w:bCs/>
        </w:rPr>
        <w:t xml:space="preserve"> </w:t>
      </w:r>
      <w:r w:rsidR="007473B5" w:rsidRPr="001E7AD0">
        <w:t>DL dynamic range should not be required to be better than UL dynamic range</w:t>
      </w:r>
      <w:r w:rsidR="00CB3979" w:rsidRPr="001E7AD0">
        <w:t>. Also</w:t>
      </w:r>
      <w:r w:rsidR="00780331" w:rsidRPr="001E7AD0">
        <w:rPr>
          <w:bCs/>
        </w:rPr>
        <w:t xml:space="preserve">, it is essential that RAN1 follows the </w:t>
      </w:r>
      <w:r w:rsidR="004D7A00" w:rsidRPr="001E7AD0">
        <w:rPr>
          <w:bCs/>
        </w:rPr>
        <w:t xml:space="preserve">requirements as </w:t>
      </w:r>
      <w:r w:rsidR="00E3317F" w:rsidRPr="001E7AD0">
        <w:rPr>
          <w:bCs/>
        </w:rPr>
        <w:t xml:space="preserve">specified in RAN4. </w:t>
      </w:r>
      <w:r w:rsidR="00A51117" w:rsidRPr="001E7AD0">
        <w:rPr>
          <w:bCs/>
        </w:rPr>
        <w:t xml:space="preserve">Then, as explained in </w:t>
      </w:r>
      <w:r w:rsidR="00250244" w:rsidRPr="001E7AD0">
        <w:rPr>
          <w:bCs/>
        </w:rPr>
        <w:fldChar w:fldCharType="begin"/>
      </w:r>
      <w:r w:rsidR="00250244" w:rsidRPr="001E7AD0">
        <w:rPr>
          <w:bCs/>
        </w:rPr>
        <w:instrText xml:space="preserve"> REF _Ref79015175 \w \h </w:instrText>
      </w:r>
      <w:r w:rsidR="00250244" w:rsidRPr="001E7AD0">
        <w:rPr>
          <w:bCs/>
        </w:rPr>
      </w:r>
      <w:r w:rsidR="00250244" w:rsidRPr="001E7AD0">
        <w:rPr>
          <w:bCs/>
        </w:rPr>
        <w:fldChar w:fldCharType="separate"/>
      </w:r>
      <w:r w:rsidR="001853DE">
        <w:rPr>
          <w:bCs/>
        </w:rPr>
        <w:t>[6]</w:t>
      </w:r>
      <w:r w:rsidR="00250244" w:rsidRPr="001E7AD0">
        <w:rPr>
          <w:bCs/>
        </w:rPr>
        <w:fldChar w:fldCharType="end"/>
      </w:r>
      <w:r w:rsidR="004500CF" w:rsidRPr="001E7AD0">
        <w:rPr>
          <w:bCs/>
        </w:rPr>
        <w:t xml:space="preserve"> and our previous contributions, </w:t>
      </w:r>
      <w:r w:rsidR="004568AF" w:rsidRPr="001E7AD0">
        <w:rPr>
          <w:bCs/>
        </w:rPr>
        <w:t>RAN4 has agreed on tw</w:t>
      </w:r>
      <w:r w:rsidR="00D0726B" w:rsidRPr="001E7AD0">
        <w:rPr>
          <w:bCs/>
        </w:rPr>
        <w:t xml:space="preserve">o, namely, </w:t>
      </w:r>
      <w:r w:rsidR="00BD1A2E" w:rsidRPr="001E7AD0">
        <w:rPr>
          <w:bCs/>
        </w:rPr>
        <w:t>w</w:t>
      </w:r>
      <w:r w:rsidR="00D0726B" w:rsidRPr="001E7AD0">
        <w:rPr>
          <w:bCs/>
        </w:rPr>
        <w:t>ide-area and local-area</w:t>
      </w:r>
      <w:r w:rsidR="006D184B" w:rsidRPr="001E7AD0">
        <w:rPr>
          <w:bCs/>
        </w:rPr>
        <w:t xml:space="preserve">, classes of </w:t>
      </w:r>
      <w:r w:rsidR="004568AF" w:rsidRPr="001E7AD0">
        <w:rPr>
          <w:bCs/>
        </w:rPr>
        <w:t>IAB</w:t>
      </w:r>
      <w:r w:rsidR="00024B50" w:rsidRPr="001E7AD0">
        <w:rPr>
          <w:bCs/>
        </w:rPr>
        <w:t xml:space="preserve"> nodes</w:t>
      </w:r>
      <w:r w:rsidR="006F0F1A" w:rsidRPr="001E7AD0">
        <w:rPr>
          <w:bCs/>
        </w:rPr>
        <w:t>.</w:t>
      </w:r>
      <w:r w:rsidR="00AF333C" w:rsidRPr="001E7AD0">
        <w:rPr>
          <w:bCs/>
        </w:rPr>
        <w:t xml:space="preserve"> </w:t>
      </w:r>
      <w:r w:rsidR="00010806" w:rsidRPr="001E7AD0">
        <w:rPr>
          <w:bCs/>
          <w:lang w:eastAsia="zh-CN"/>
        </w:rPr>
        <w:t xml:space="preserve">Wide-area IAB-node is an independent IAB-node providing its own coverage, requiring a long distance backhaul link to connect to its parent IAB-node. Here, the deployment is well-planned, planned by operators, with little need for power control and limited dynamic range. Specially, according to </w:t>
      </w:r>
      <w:r w:rsidR="00250244" w:rsidRPr="001E7AD0">
        <w:rPr>
          <w:bCs/>
          <w:lang w:eastAsia="zh-CN"/>
        </w:rPr>
        <w:fldChar w:fldCharType="begin"/>
      </w:r>
      <w:r w:rsidR="00250244" w:rsidRPr="001E7AD0">
        <w:rPr>
          <w:bCs/>
          <w:lang w:eastAsia="zh-CN"/>
        </w:rPr>
        <w:instrText xml:space="preserve"> REF _Ref79015175 \w \h </w:instrText>
      </w:r>
      <w:r w:rsidR="00250244" w:rsidRPr="001E7AD0">
        <w:rPr>
          <w:bCs/>
          <w:lang w:eastAsia="zh-CN"/>
        </w:rPr>
      </w:r>
      <w:r w:rsidR="00250244" w:rsidRPr="001E7AD0">
        <w:rPr>
          <w:bCs/>
          <w:lang w:eastAsia="zh-CN"/>
        </w:rPr>
        <w:fldChar w:fldCharType="separate"/>
      </w:r>
      <w:r w:rsidR="001853DE">
        <w:rPr>
          <w:bCs/>
          <w:lang w:eastAsia="zh-CN"/>
        </w:rPr>
        <w:t>[6]</w:t>
      </w:r>
      <w:r w:rsidR="00250244" w:rsidRPr="001E7AD0">
        <w:rPr>
          <w:bCs/>
          <w:lang w:eastAsia="zh-CN"/>
        </w:rPr>
        <w:fldChar w:fldCharType="end"/>
      </w:r>
      <w:r w:rsidR="00010806" w:rsidRPr="001E7AD0">
        <w:rPr>
          <w:bCs/>
          <w:lang w:eastAsia="zh-CN"/>
        </w:rPr>
        <w:t xml:space="preserve">, the dynamic range of the wide-area IAB is limited to 5 </w:t>
      </w:r>
      <w:proofErr w:type="spellStart"/>
      <w:r w:rsidR="00010806" w:rsidRPr="001E7AD0">
        <w:rPr>
          <w:bCs/>
          <w:lang w:eastAsia="zh-CN"/>
        </w:rPr>
        <w:t>dB.</w:t>
      </w:r>
      <w:proofErr w:type="spellEnd"/>
      <w:r w:rsidR="00010806" w:rsidRPr="001E7AD0">
        <w:rPr>
          <w:bCs/>
          <w:lang w:eastAsia="zh-CN"/>
        </w:rPr>
        <w:t xml:space="preserve"> The use-case for the local-area IAB-node is to boost capacity within an already existing cell served by a donor or parent IAB-node. With local-area IAB,</w:t>
      </w:r>
      <w:r w:rsidR="00D65D2A" w:rsidRPr="001E7AD0">
        <w:rPr>
          <w:bCs/>
          <w:lang w:eastAsia="zh-CN"/>
        </w:rPr>
        <w:t xml:space="preserve"> the </w:t>
      </w:r>
      <w:r w:rsidR="000A2AC4" w:rsidRPr="001E7AD0">
        <w:rPr>
          <w:bCs/>
          <w:lang w:eastAsia="zh-CN"/>
        </w:rPr>
        <w:t xml:space="preserve">benefit of power control increases, </w:t>
      </w:r>
      <w:r w:rsidR="000633C0" w:rsidRPr="001E7AD0">
        <w:rPr>
          <w:bCs/>
          <w:lang w:eastAsia="zh-CN"/>
        </w:rPr>
        <w:t>and</w:t>
      </w:r>
      <w:r w:rsidR="00010806" w:rsidRPr="001E7AD0">
        <w:rPr>
          <w:bCs/>
          <w:lang w:eastAsia="zh-CN"/>
        </w:rPr>
        <w:t xml:space="preserve"> the IAB-MT has higher dynamic range, where RAN4 has agreed on 10 dB dynamic range.</w:t>
      </w:r>
      <w:r w:rsidR="00F21BC1" w:rsidRPr="001E7AD0">
        <w:rPr>
          <w:bCs/>
          <w:lang w:eastAsia="zh-CN"/>
        </w:rPr>
        <w:t xml:space="preserve"> </w:t>
      </w:r>
      <w:r w:rsidR="00190D3D" w:rsidRPr="001E7AD0">
        <w:rPr>
          <w:bCs/>
          <w:lang w:eastAsia="zh-CN"/>
        </w:rPr>
        <w:t>With this background, we propose that</w:t>
      </w:r>
      <w:r w:rsidR="00101867" w:rsidRPr="001E7AD0">
        <w:rPr>
          <w:bCs/>
          <w:lang w:eastAsia="zh-CN"/>
        </w:rPr>
        <w:t xml:space="preserve"> for </w:t>
      </w:r>
      <w:r w:rsidR="00B53EB3" w:rsidRPr="001E7AD0">
        <w:rPr>
          <w:bCs/>
          <w:lang w:eastAsia="zh-CN"/>
        </w:rPr>
        <w:t xml:space="preserve">DL Tx </w:t>
      </w:r>
      <w:r w:rsidR="00101867" w:rsidRPr="001E7AD0">
        <w:rPr>
          <w:bCs/>
          <w:lang w:eastAsia="zh-CN"/>
        </w:rPr>
        <w:t>power control</w:t>
      </w:r>
      <w:r w:rsidR="00190D3D" w:rsidRPr="001E7AD0">
        <w:rPr>
          <w:bCs/>
          <w:lang w:eastAsia="zh-CN"/>
        </w:rPr>
        <w:t xml:space="preserve"> RAN1 foll</w:t>
      </w:r>
      <w:r w:rsidR="000F50C8" w:rsidRPr="001E7AD0">
        <w:rPr>
          <w:bCs/>
          <w:lang w:eastAsia="zh-CN"/>
        </w:rPr>
        <w:t xml:space="preserve">ows the </w:t>
      </w:r>
      <w:r w:rsidR="00A77683" w:rsidRPr="001E7AD0">
        <w:rPr>
          <w:bCs/>
          <w:lang w:eastAsia="zh-CN"/>
        </w:rPr>
        <w:t xml:space="preserve">RAN4 </w:t>
      </w:r>
      <w:r w:rsidR="000F50C8" w:rsidRPr="001E7AD0">
        <w:rPr>
          <w:bCs/>
          <w:lang w:eastAsia="zh-CN"/>
        </w:rPr>
        <w:t>specific</w:t>
      </w:r>
      <w:r w:rsidR="00A77683" w:rsidRPr="001E7AD0">
        <w:rPr>
          <w:bCs/>
          <w:lang w:eastAsia="zh-CN"/>
        </w:rPr>
        <w:t xml:space="preserve">ations </w:t>
      </w:r>
      <w:r w:rsidR="00544939" w:rsidRPr="001E7AD0">
        <w:rPr>
          <w:bCs/>
          <w:lang w:eastAsia="zh-CN"/>
        </w:rPr>
        <w:t xml:space="preserve">for </w:t>
      </w:r>
      <w:r w:rsidR="00B963C3" w:rsidRPr="001E7AD0">
        <w:rPr>
          <w:bCs/>
          <w:lang w:eastAsia="zh-CN"/>
        </w:rPr>
        <w:t>wide- and local-area IAB nodes</w:t>
      </w:r>
      <w:r w:rsidR="00A12648" w:rsidRPr="001E7AD0">
        <w:rPr>
          <w:bCs/>
          <w:lang w:eastAsia="zh-CN"/>
        </w:rPr>
        <w:t xml:space="preserve"> </w:t>
      </w:r>
      <w:r w:rsidR="00B963C3" w:rsidRPr="001E7AD0">
        <w:t>with a resolution of 1 dB</w:t>
      </w:r>
      <w:r w:rsidR="00101867" w:rsidRPr="001E7AD0">
        <w:t>,</w:t>
      </w:r>
      <w:r w:rsidR="00B963C3" w:rsidRPr="001E7AD0">
        <w:t xml:space="preserve"> </w:t>
      </w:r>
      <w:r w:rsidR="001D4B72" w:rsidRPr="001E7AD0">
        <w:t>resulting in</w:t>
      </w:r>
      <w:r w:rsidR="00B963C3" w:rsidRPr="001E7AD0">
        <w:t xml:space="preserve"> </w:t>
      </w:r>
      <w:r w:rsidR="001D4B72" w:rsidRPr="001E7AD0">
        <w:t>3</w:t>
      </w:r>
      <w:r w:rsidR="00B963C3" w:rsidRPr="001E7AD0">
        <w:t xml:space="preserve"> bits</w:t>
      </w:r>
      <w:r w:rsidR="001D4B72" w:rsidRPr="001E7AD0">
        <w:t>.</w:t>
      </w:r>
    </w:p>
    <w:p w14:paraId="4A726EA8" w14:textId="33525BC8" w:rsidR="0060477E" w:rsidRPr="001E7AD0" w:rsidRDefault="002C162E" w:rsidP="001E7AD0">
      <w:pPr>
        <w:pStyle w:val="Proposal"/>
      </w:pPr>
      <w:bookmarkStart w:id="63" w:name="_Toc87042533"/>
      <w:r w:rsidRPr="001E7AD0">
        <w:t xml:space="preserve">The </w:t>
      </w:r>
      <w:r w:rsidR="00CF001A" w:rsidRPr="001E7AD0">
        <w:t xml:space="preserve">IAB-DU </w:t>
      </w:r>
      <w:r w:rsidR="00566C05" w:rsidRPr="001E7AD0">
        <w:t xml:space="preserve">DL TX </w:t>
      </w:r>
      <w:r w:rsidRPr="001E7AD0">
        <w:t>p</w:t>
      </w:r>
      <w:r w:rsidR="00184BE5" w:rsidRPr="001E7AD0">
        <w:t>ower control range follow</w:t>
      </w:r>
      <w:r w:rsidRPr="001E7AD0">
        <w:t>s</w:t>
      </w:r>
      <w:r w:rsidR="00184BE5" w:rsidRPr="001E7AD0">
        <w:t xml:space="preserve"> </w:t>
      </w:r>
      <w:r w:rsidRPr="001E7AD0">
        <w:t xml:space="preserve">IAB-MT </w:t>
      </w:r>
      <w:r w:rsidR="00184BE5" w:rsidRPr="001E7AD0">
        <w:t xml:space="preserve">power control </w:t>
      </w:r>
      <w:r w:rsidRPr="001E7AD0">
        <w:t xml:space="preserve">requirements </w:t>
      </w:r>
      <w:r w:rsidR="00184BE5" w:rsidRPr="001E7AD0">
        <w:t xml:space="preserve">of </w:t>
      </w:r>
      <w:r w:rsidR="002D5A23" w:rsidRPr="001E7AD0">
        <w:t>the IAB-node</w:t>
      </w:r>
      <w:r w:rsidR="00312379" w:rsidRPr="001E7AD0">
        <w:t xml:space="preserve">, i.e., 5 dB for wide area nodes and </w:t>
      </w:r>
      <w:r w:rsidR="002D5A23" w:rsidRPr="001E7AD0">
        <w:t>10 </w:t>
      </w:r>
      <w:r w:rsidR="00312379" w:rsidRPr="001E7AD0">
        <w:t>dB for local are</w:t>
      </w:r>
      <w:r w:rsidR="002D5A23" w:rsidRPr="001E7AD0">
        <w:t>a</w:t>
      </w:r>
      <w:r w:rsidR="00312379" w:rsidRPr="001E7AD0">
        <w:t xml:space="preserve"> nodes</w:t>
      </w:r>
      <w:r w:rsidRPr="001E7AD0">
        <w:t>, in increments of 1 dB</w:t>
      </w:r>
      <w:r w:rsidR="006A34A2" w:rsidRPr="001E7AD0">
        <w:t xml:space="preserve">, and is </w:t>
      </w:r>
      <w:r w:rsidR="00EE425E" w:rsidRPr="001E7AD0">
        <w:t xml:space="preserve">requested and </w:t>
      </w:r>
      <w:r w:rsidR="00566C05" w:rsidRPr="001E7AD0">
        <w:t>acknowledged</w:t>
      </w:r>
      <w:r w:rsidR="006A34A2" w:rsidRPr="001E7AD0">
        <w:t xml:space="preserve"> in relation to the</w:t>
      </w:r>
      <w:r w:rsidR="00EE425E" w:rsidRPr="001E7AD0">
        <w:t xml:space="preserve"> CSI-RS</w:t>
      </w:r>
      <w:r w:rsidR="006A34A2" w:rsidRPr="001E7AD0">
        <w:t xml:space="preserve"> of the TCI state</w:t>
      </w:r>
      <w:r w:rsidR="00312379" w:rsidRPr="001E7AD0">
        <w:t>.</w:t>
      </w:r>
      <w:bookmarkEnd w:id="63"/>
      <w:r w:rsidR="00CF001A" w:rsidRPr="001E7AD0">
        <w:t xml:space="preserve"> </w:t>
      </w:r>
    </w:p>
    <w:p w14:paraId="74C12A9F" w14:textId="77777777" w:rsidR="006B5FB7" w:rsidRPr="001E7AD0" w:rsidRDefault="006B5FB7" w:rsidP="00FF09B0">
      <w:pPr>
        <w:pStyle w:val="Heading2"/>
        <w:jc w:val="both"/>
        <w:rPr>
          <w:lang w:val="en-US"/>
        </w:rPr>
      </w:pPr>
      <w:bookmarkStart w:id="64" w:name="_Toc74923203"/>
      <w:bookmarkStart w:id="65" w:name="_Toc74923248"/>
      <w:bookmarkStart w:id="66" w:name="_Toc74923275"/>
      <w:bookmarkStart w:id="67" w:name="_Toc74923301"/>
      <w:bookmarkStart w:id="68" w:name="_Toc74923345"/>
      <w:bookmarkStart w:id="69" w:name="_Toc74923534"/>
      <w:bookmarkStart w:id="70" w:name="_Toc74923576"/>
      <w:bookmarkStart w:id="71" w:name="_Toc74923638"/>
      <w:bookmarkStart w:id="72" w:name="_Toc74923757"/>
      <w:bookmarkStart w:id="73" w:name="_Toc74923776"/>
      <w:bookmarkStart w:id="74" w:name="_Toc74923877"/>
      <w:bookmarkStart w:id="75" w:name="_Toc74923904"/>
      <w:bookmarkStart w:id="76" w:name="_Toc74923937"/>
      <w:bookmarkStart w:id="77" w:name="_Toc74923975"/>
      <w:bookmarkStart w:id="78" w:name="_Toc74924040"/>
      <w:bookmarkStart w:id="79" w:name="_Toc74923208"/>
      <w:bookmarkStart w:id="80" w:name="_Toc74923253"/>
      <w:bookmarkStart w:id="81" w:name="_Toc74923280"/>
      <w:bookmarkStart w:id="82" w:name="_Toc74923306"/>
      <w:bookmarkStart w:id="83" w:name="_Toc74923350"/>
      <w:bookmarkStart w:id="84" w:name="_Toc74923539"/>
      <w:bookmarkStart w:id="85" w:name="_Toc74923581"/>
      <w:bookmarkStart w:id="86" w:name="_Toc74923643"/>
      <w:bookmarkStart w:id="87" w:name="_Toc74923762"/>
      <w:bookmarkStart w:id="88" w:name="_Toc74923781"/>
      <w:bookmarkStart w:id="89" w:name="_Toc74923882"/>
      <w:bookmarkStart w:id="90" w:name="_Toc74923909"/>
      <w:bookmarkStart w:id="91" w:name="_Toc74923942"/>
      <w:bookmarkStart w:id="92" w:name="_Toc74923980"/>
      <w:bookmarkStart w:id="93" w:name="_Toc74924045"/>
      <w:bookmarkStart w:id="94" w:name="_Toc7916575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1E7AD0">
        <w:rPr>
          <w:lang w:val="en-US"/>
        </w:rPr>
        <w:t>UL TX power control</w:t>
      </w:r>
    </w:p>
    <w:p w14:paraId="0B71036A" w14:textId="7F7835D1" w:rsidR="006B5FB7" w:rsidRPr="001E7AD0" w:rsidRDefault="00CD0974" w:rsidP="00FF09B0">
      <w:pPr>
        <w:jc w:val="both"/>
        <w:rPr>
          <w:lang w:eastAsia="ja-JP"/>
        </w:rPr>
      </w:pPr>
      <w:r w:rsidRPr="001E7AD0">
        <w:rPr>
          <w:lang w:eastAsia="ja-JP"/>
        </w:rPr>
        <w:t>RAN1 #106</w:t>
      </w:r>
      <w:r w:rsidR="004A57CC" w:rsidRPr="001E7AD0">
        <w:rPr>
          <w:lang w:eastAsia="ja-JP"/>
        </w:rPr>
        <w:t>-bis</w:t>
      </w:r>
      <w:r w:rsidRPr="001E7AD0">
        <w:rPr>
          <w:lang w:eastAsia="ja-JP"/>
        </w:rPr>
        <w:t>-e agreed on the following regarding UL TX power control:</w:t>
      </w:r>
    </w:p>
    <w:tbl>
      <w:tblPr>
        <w:tblStyle w:val="TableGrid"/>
        <w:tblW w:w="0" w:type="auto"/>
        <w:tblLook w:val="04A0" w:firstRow="1" w:lastRow="0" w:firstColumn="1" w:lastColumn="0" w:noHBand="0" w:noVBand="1"/>
      </w:tblPr>
      <w:tblGrid>
        <w:gridCol w:w="9629"/>
      </w:tblGrid>
      <w:tr w:rsidR="006D10CC" w:rsidRPr="001E7AD0" w14:paraId="0B29809C" w14:textId="77777777" w:rsidTr="006B5FB7">
        <w:tc>
          <w:tcPr>
            <w:tcW w:w="9629" w:type="dxa"/>
          </w:tcPr>
          <w:p w14:paraId="1F08C302" w14:textId="77777777" w:rsidR="003321B5" w:rsidRPr="001E7AD0" w:rsidRDefault="003321B5" w:rsidP="003321B5">
            <w:pPr>
              <w:jc w:val="both"/>
              <w:rPr>
                <w:rFonts w:cs="Arial"/>
                <w:b/>
                <w:color w:val="000000"/>
                <w:sz w:val="20"/>
                <w:szCs w:val="20"/>
              </w:rPr>
            </w:pPr>
            <w:r w:rsidRPr="001E7AD0">
              <w:rPr>
                <w:rFonts w:cs="Arial"/>
                <w:b/>
                <w:color w:val="000000"/>
                <w:sz w:val="20"/>
                <w:szCs w:val="20"/>
                <w:highlight w:val="green"/>
              </w:rPr>
              <w:t>Agreement</w:t>
            </w:r>
          </w:p>
          <w:p w14:paraId="2E2DDD33" w14:textId="77777777" w:rsidR="003321B5" w:rsidRPr="001E7AD0" w:rsidRDefault="003321B5" w:rsidP="003321B5">
            <w:pPr>
              <w:jc w:val="both"/>
              <w:rPr>
                <w:rFonts w:cs="Arial"/>
                <w:bCs/>
                <w:color w:val="000000"/>
                <w:sz w:val="20"/>
                <w:szCs w:val="20"/>
              </w:rPr>
            </w:pPr>
            <w:r w:rsidRPr="001E7AD0">
              <w:rPr>
                <w:rFonts w:cs="Arial"/>
                <w:bCs/>
                <w:color w:val="000000"/>
                <w:sz w:val="20"/>
                <w:szCs w:val="20"/>
              </w:rPr>
              <w:t>The desired IAB-MT’s UL PSD range, provided by the IAB-MT to its parent-node, is indicated to be associated with some combination (one or multiple) of the following IAB-node’s configurations:</w:t>
            </w:r>
          </w:p>
          <w:p w14:paraId="0F8F606F" w14:textId="77777777" w:rsidR="003321B5" w:rsidRPr="001E7AD0" w:rsidRDefault="003321B5" w:rsidP="003321B5">
            <w:pPr>
              <w:pStyle w:val="ListParagraph"/>
              <w:numPr>
                <w:ilvl w:val="0"/>
                <w:numId w:val="37"/>
              </w:numPr>
              <w:jc w:val="both"/>
              <w:rPr>
                <w:rFonts w:ascii="Arial" w:hAnsi="Arial" w:cs="Arial"/>
                <w:bCs/>
                <w:color w:val="000000"/>
                <w:sz w:val="20"/>
                <w:szCs w:val="20"/>
                <w:lang w:val="en-US"/>
              </w:rPr>
            </w:pPr>
            <w:r w:rsidRPr="001E7AD0">
              <w:rPr>
                <w:rFonts w:ascii="Arial" w:hAnsi="Arial" w:cs="Arial"/>
                <w:bCs/>
                <w:color w:val="000000"/>
                <w:sz w:val="20"/>
                <w:szCs w:val="20"/>
                <w:lang w:val="en-US"/>
              </w:rPr>
              <w:t xml:space="preserve">Multiplexing mode, </w:t>
            </w:r>
          </w:p>
          <w:p w14:paraId="3C9A3D8F" w14:textId="77777777" w:rsidR="003321B5" w:rsidRPr="001E7AD0" w:rsidRDefault="003321B5" w:rsidP="003321B5">
            <w:pPr>
              <w:pStyle w:val="ListParagraph"/>
              <w:numPr>
                <w:ilvl w:val="0"/>
                <w:numId w:val="37"/>
              </w:numPr>
              <w:jc w:val="both"/>
              <w:rPr>
                <w:rFonts w:ascii="Arial" w:hAnsi="Arial" w:cs="Arial"/>
                <w:bCs/>
                <w:color w:val="000000"/>
                <w:sz w:val="20"/>
                <w:szCs w:val="20"/>
                <w:lang w:val="en-US"/>
              </w:rPr>
            </w:pPr>
            <w:r w:rsidRPr="001E7AD0">
              <w:rPr>
                <w:rFonts w:ascii="Arial" w:hAnsi="Arial" w:cs="Arial"/>
                <w:bCs/>
                <w:color w:val="000000"/>
                <w:sz w:val="20"/>
                <w:szCs w:val="20"/>
                <w:lang w:val="en-US"/>
              </w:rPr>
              <w:t xml:space="preserve">MT’s UL beam (e.g., SRI id), </w:t>
            </w:r>
          </w:p>
          <w:p w14:paraId="1D99A10E" w14:textId="77777777" w:rsidR="003321B5" w:rsidRPr="001E7AD0" w:rsidRDefault="003321B5" w:rsidP="003321B5">
            <w:pPr>
              <w:pStyle w:val="ListParagraph"/>
              <w:numPr>
                <w:ilvl w:val="0"/>
                <w:numId w:val="37"/>
              </w:numPr>
              <w:jc w:val="both"/>
              <w:rPr>
                <w:rFonts w:ascii="Arial" w:hAnsi="Arial" w:cs="Arial"/>
                <w:bCs/>
                <w:color w:val="000000"/>
                <w:sz w:val="20"/>
                <w:szCs w:val="20"/>
                <w:lang w:val="en-US"/>
              </w:rPr>
            </w:pPr>
            <w:r w:rsidRPr="001E7AD0">
              <w:rPr>
                <w:rFonts w:ascii="Arial" w:hAnsi="Arial" w:cs="Arial"/>
                <w:bCs/>
                <w:color w:val="000000"/>
                <w:sz w:val="20"/>
                <w:szCs w:val="20"/>
                <w:lang w:val="en-US"/>
              </w:rPr>
              <w:t>(MT CC, DU cell) pair,</w:t>
            </w:r>
          </w:p>
          <w:p w14:paraId="112E9699" w14:textId="77777777" w:rsidR="003321B5" w:rsidRPr="001E7AD0" w:rsidRDefault="003321B5" w:rsidP="003321B5">
            <w:pPr>
              <w:pStyle w:val="ListParagraph"/>
              <w:numPr>
                <w:ilvl w:val="0"/>
                <w:numId w:val="37"/>
              </w:numPr>
              <w:jc w:val="both"/>
              <w:rPr>
                <w:rFonts w:ascii="Arial" w:hAnsi="Arial" w:cs="Arial"/>
                <w:bCs/>
                <w:color w:val="000000"/>
                <w:sz w:val="20"/>
                <w:szCs w:val="20"/>
                <w:lang w:val="en-US"/>
              </w:rPr>
            </w:pPr>
            <w:r w:rsidRPr="001E7AD0">
              <w:rPr>
                <w:rFonts w:ascii="Arial" w:hAnsi="Arial" w:cs="Arial"/>
                <w:bCs/>
                <w:color w:val="000000"/>
                <w:sz w:val="20"/>
                <w:szCs w:val="20"/>
                <w:lang w:val="en-US"/>
              </w:rPr>
              <w:t>DU resource configuration</w:t>
            </w:r>
          </w:p>
          <w:p w14:paraId="76CAC586" w14:textId="77777777" w:rsidR="003321B5" w:rsidRPr="001E7AD0" w:rsidRDefault="003321B5" w:rsidP="003321B5">
            <w:pPr>
              <w:pStyle w:val="ListParagraph"/>
              <w:numPr>
                <w:ilvl w:val="0"/>
                <w:numId w:val="37"/>
              </w:numPr>
              <w:jc w:val="both"/>
              <w:rPr>
                <w:rFonts w:ascii="Arial" w:hAnsi="Arial" w:cs="Arial"/>
                <w:bCs/>
                <w:color w:val="000000"/>
                <w:sz w:val="20"/>
                <w:szCs w:val="20"/>
                <w:lang w:val="en-US"/>
              </w:rPr>
            </w:pPr>
            <w:r w:rsidRPr="001E7AD0">
              <w:rPr>
                <w:rFonts w:ascii="Arial" w:hAnsi="Arial" w:cs="Arial"/>
                <w:bCs/>
                <w:color w:val="000000"/>
                <w:sz w:val="20"/>
                <w:szCs w:val="20"/>
                <w:lang w:val="en-US"/>
              </w:rPr>
              <w:t>FFS: slot index</w:t>
            </w:r>
          </w:p>
          <w:p w14:paraId="21A758AF" w14:textId="2F695410" w:rsidR="003321B5" w:rsidRPr="001E7AD0" w:rsidRDefault="003321B5" w:rsidP="003321B5">
            <w:pPr>
              <w:pStyle w:val="ListParagraph"/>
              <w:numPr>
                <w:ilvl w:val="0"/>
                <w:numId w:val="37"/>
              </w:numPr>
              <w:jc w:val="both"/>
              <w:rPr>
                <w:rFonts w:ascii="Arial" w:hAnsi="Arial" w:cs="Arial"/>
                <w:bCs/>
                <w:color w:val="000000"/>
                <w:sz w:val="20"/>
                <w:szCs w:val="20"/>
                <w:lang w:val="en-US"/>
              </w:rPr>
            </w:pPr>
            <w:r w:rsidRPr="001E7AD0">
              <w:rPr>
                <w:rFonts w:ascii="Arial" w:hAnsi="Arial" w:cs="Arial"/>
                <w:bCs/>
                <w:color w:val="000000"/>
                <w:sz w:val="20"/>
                <w:szCs w:val="20"/>
                <w:lang w:val="en-US"/>
              </w:rPr>
              <w:t>FFS: timing mode (e.g., Case-6 timing)</w:t>
            </w:r>
          </w:p>
          <w:p w14:paraId="2C01EA85" w14:textId="77777777" w:rsidR="003321B5" w:rsidRPr="001E7AD0" w:rsidRDefault="003321B5" w:rsidP="003321B5">
            <w:pPr>
              <w:jc w:val="both"/>
              <w:rPr>
                <w:rFonts w:cs="Arial"/>
                <w:bCs/>
                <w:color w:val="000000"/>
                <w:sz w:val="20"/>
                <w:szCs w:val="20"/>
              </w:rPr>
            </w:pPr>
            <w:r w:rsidRPr="001E7AD0">
              <w:rPr>
                <w:rFonts w:cs="Arial"/>
                <w:bCs/>
                <w:color w:val="000000"/>
                <w:sz w:val="20"/>
                <w:szCs w:val="20"/>
              </w:rPr>
              <w:t xml:space="preserve"> </w:t>
            </w:r>
          </w:p>
          <w:p w14:paraId="608ECBF4" w14:textId="77777777" w:rsidR="003321B5" w:rsidRPr="001E7AD0" w:rsidRDefault="003321B5" w:rsidP="003321B5">
            <w:pPr>
              <w:jc w:val="both"/>
              <w:rPr>
                <w:rFonts w:cs="Arial"/>
                <w:b/>
                <w:color w:val="000000"/>
                <w:sz w:val="20"/>
                <w:szCs w:val="20"/>
              </w:rPr>
            </w:pPr>
            <w:r w:rsidRPr="001E7AD0">
              <w:rPr>
                <w:rFonts w:cs="Arial"/>
                <w:b/>
                <w:color w:val="000000"/>
                <w:sz w:val="20"/>
                <w:szCs w:val="20"/>
                <w:highlight w:val="green"/>
              </w:rPr>
              <w:t>Agreement</w:t>
            </w:r>
          </w:p>
          <w:p w14:paraId="1B4693FB" w14:textId="77777777" w:rsidR="003321B5" w:rsidRPr="001E7AD0" w:rsidRDefault="003321B5" w:rsidP="003321B5">
            <w:pPr>
              <w:jc w:val="both"/>
              <w:rPr>
                <w:rFonts w:cs="Arial"/>
                <w:bCs/>
                <w:color w:val="000000"/>
                <w:sz w:val="20"/>
                <w:szCs w:val="20"/>
              </w:rPr>
            </w:pPr>
            <w:r w:rsidRPr="001E7AD0">
              <w:rPr>
                <w:rFonts w:cs="Arial"/>
                <w:bCs/>
                <w:color w:val="000000"/>
                <w:sz w:val="20"/>
                <w:szCs w:val="20"/>
              </w:rPr>
              <w:t>The desired IAB-MT’s UL PSD range, provided by an IAB-MT to its parent-node, is indicated via a new MAC-CE.</w:t>
            </w:r>
          </w:p>
          <w:p w14:paraId="27638D36" w14:textId="77777777" w:rsidR="003321B5" w:rsidRPr="001E7AD0" w:rsidRDefault="003321B5" w:rsidP="003321B5">
            <w:pPr>
              <w:pStyle w:val="ListParagraph"/>
              <w:numPr>
                <w:ilvl w:val="0"/>
                <w:numId w:val="38"/>
              </w:numPr>
              <w:jc w:val="both"/>
              <w:rPr>
                <w:rFonts w:ascii="Arial" w:hAnsi="Arial" w:cs="Arial"/>
                <w:bCs/>
                <w:color w:val="000000"/>
                <w:sz w:val="20"/>
                <w:szCs w:val="20"/>
                <w:lang w:val="en-US"/>
              </w:rPr>
            </w:pPr>
            <w:r w:rsidRPr="001E7AD0">
              <w:rPr>
                <w:rFonts w:ascii="Arial" w:hAnsi="Arial" w:cs="Arial"/>
                <w:bCs/>
                <w:color w:val="000000"/>
                <w:sz w:val="20"/>
                <w:szCs w:val="20"/>
                <w:lang w:val="en-US"/>
              </w:rPr>
              <w:t>The indication further includes the associated configurations for which the indicated PSD range is applicable.</w:t>
            </w:r>
          </w:p>
          <w:p w14:paraId="7416316E" w14:textId="5F10FA68" w:rsidR="000D7B02" w:rsidRPr="001E7AD0" w:rsidRDefault="003321B5" w:rsidP="003321B5">
            <w:pPr>
              <w:pStyle w:val="ListParagraph"/>
              <w:numPr>
                <w:ilvl w:val="0"/>
                <w:numId w:val="38"/>
              </w:numPr>
              <w:jc w:val="both"/>
              <w:rPr>
                <w:rFonts w:ascii="Arial" w:hAnsi="Arial" w:cs="Arial"/>
                <w:bCs/>
                <w:color w:val="000000"/>
                <w:sz w:val="20"/>
                <w:szCs w:val="20"/>
                <w:lang w:val="en-US"/>
              </w:rPr>
            </w:pPr>
            <w:r w:rsidRPr="001E7AD0">
              <w:rPr>
                <w:rFonts w:ascii="Arial" w:hAnsi="Arial" w:cs="Arial"/>
                <w:bCs/>
                <w:color w:val="000000"/>
                <w:sz w:val="20"/>
                <w:szCs w:val="20"/>
                <w:lang w:val="en-US"/>
              </w:rPr>
              <w:t xml:space="preserve">FFS: the range of values for the indicated PSD range and whether RAN4 input is needed. </w:t>
            </w:r>
          </w:p>
          <w:p w14:paraId="27BF6783" w14:textId="76EF04BE" w:rsidR="006B5FB7" w:rsidRPr="001E7AD0" w:rsidRDefault="003321B5" w:rsidP="000C152F">
            <w:pPr>
              <w:pStyle w:val="ListParagraph"/>
              <w:numPr>
                <w:ilvl w:val="0"/>
                <w:numId w:val="38"/>
              </w:numPr>
              <w:jc w:val="both"/>
              <w:rPr>
                <w:rFonts w:cs="Arial"/>
                <w:color w:val="000000"/>
                <w:szCs w:val="20"/>
                <w:lang w:val="en-US"/>
              </w:rPr>
            </w:pPr>
            <w:r w:rsidRPr="001E7AD0">
              <w:rPr>
                <w:rFonts w:cs="Arial"/>
                <w:color w:val="000000"/>
                <w:szCs w:val="20"/>
                <w:lang w:val="en-US"/>
              </w:rPr>
              <w:t xml:space="preserve">FFS: IAB-MT’s </w:t>
            </w:r>
            <w:proofErr w:type="spellStart"/>
            <w:r w:rsidRPr="001E7AD0">
              <w:rPr>
                <w:rFonts w:cs="Arial"/>
                <w:color w:val="000000"/>
                <w:szCs w:val="20"/>
                <w:lang w:val="en-US"/>
              </w:rPr>
              <w:t>behaviour</w:t>
            </w:r>
            <w:proofErr w:type="spellEnd"/>
            <w:r w:rsidRPr="001E7AD0">
              <w:rPr>
                <w:rFonts w:cs="Arial"/>
                <w:color w:val="000000"/>
                <w:szCs w:val="20"/>
                <w:lang w:val="en-US"/>
              </w:rPr>
              <w:t xml:space="preserve"> in case the configured/indicated UL TX power is outside the indicated desired PSD range and whether RAN4 input is needed.</w:t>
            </w:r>
          </w:p>
        </w:tc>
      </w:tr>
    </w:tbl>
    <w:p w14:paraId="05F0F1FB" w14:textId="4B3A5543" w:rsidR="00C639E0" w:rsidRPr="001E7AD0" w:rsidRDefault="00C639E0" w:rsidP="001E7AD0">
      <w:pPr>
        <w:spacing w:before="240"/>
        <w:jc w:val="both"/>
      </w:pPr>
      <w:proofErr w:type="gramStart"/>
      <w:r w:rsidRPr="001E7AD0">
        <w:t>Similar to</w:t>
      </w:r>
      <w:proofErr w:type="gramEnd"/>
      <w:r w:rsidRPr="001E7AD0">
        <w:t xml:space="preserve"> DL TX power control, UL PS</w:t>
      </w:r>
      <w:r w:rsidR="00BB2B99" w:rsidRPr="001E7AD0">
        <w:t>D</w:t>
      </w:r>
      <w:r w:rsidRPr="001E7AD0">
        <w:t xml:space="preserve"> range reporting is only relevant for </w:t>
      </w:r>
      <w:r w:rsidR="00BD5CBC" w:rsidRPr="001E7AD0">
        <w:t xml:space="preserve">one mode of operation, in this case, </w:t>
      </w:r>
      <w:r w:rsidRPr="001E7AD0">
        <w:t>simultaneous transmission, i.e., where an MT UL transmission may be interfered with a DU DL transmission.</w:t>
      </w:r>
      <w:r w:rsidR="004A332D" w:rsidRPr="001E7AD0">
        <w:t xml:space="preserve"> </w:t>
      </w:r>
      <w:r w:rsidR="00BB2B99" w:rsidRPr="001E7AD0">
        <w:t xml:space="preserve">Even for this case, it can be argued if IAB nodes not requiring timing alignment can be expected to require power control since dual panels would, in our opinion, also imply dual TX circuitry with substantially </w:t>
      </w:r>
      <w:r w:rsidR="00BB2B99" w:rsidRPr="001E7AD0">
        <w:lastRenderedPageBreak/>
        <w:t xml:space="preserve">less interference. </w:t>
      </w:r>
      <w:r w:rsidR="004A332D" w:rsidRPr="001E7AD0">
        <w:t xml:space="preserve">For other cases, the PSD range fills no purpose. It can be argued that full duplex modes like MT TX/DU RX could also benefit from reporting a desired UL PSD range, but </w:t>
      </w:r>
      <w:r w:rsidR="00C73D84" w:rsidRPr="001E7AD0">
        <w:t>in that case</w:t>
      </w:r>
      <w:r w:rsidR="00BD5CBC" w:rsidRPr="001E7AD0">
        <w:t>,</w:t>
      </w:r>
      <w:r w:rsidR="00C73D84" w:rsidRPr="001E7AD0">
        <w:t xml:space="preserve"> it is </w:t>
      </w:r>
      <w:r w:rsidR="00BB2B99" w:rsidRPr="001E7AD0">
        <w:t>the</w:t>
      </w:r>
      <w:r w:rsidR="00C73D84" w:rsidRPr="001E7AD0">
        <w:t xml:space="preserve"> maximum desirable TX power that is relevant</w:t>
      </w:r>
      <w:r w:rsidR="00BD5CBC" w:rsidRPr="001E7AD0">
        <w:t>,</w:t>
      </w:r>
      <w:r w:rsidR="00BB2B99" w:rsidRPr="001E7AD0">
        <w:t xml:space="preserve"> and the UL PSD range does not fit that purpose</w:t>
      </w:r>
      <w:r w:rsidR="00C73D84" w:rsidRPr="001E7AD0">
        <w:t xml:space="preserve">. </w:t>
      </w:r>
    </w:p>
    <w:p w14:paraId="2FE9D054" w14:textId="5303C9A9" w:rsidR="00BD5CBC" w:rsidRPr="001E7AD0" w:rsidRDefault="002C18AC" w:rsidP="002B1E62">
      <w:pPr>
        <w:jc w:val="both"/>
      </w:pPr>
      <w:r w:rsidRPr="001E7AD0">
        <w:t>Considering the UL PSD range reporting, it is worth noting that the existing MT UL power control is a single loop that is applied to all multiplexing modes, UL beams and resource configurations.</w:t>
      </w:r>
      <w:r w:rsidR="000A6953" w:rsidRPr="001E7AD0">
        <w:t xml:space="preserve"> It is not clear what the benefits would be to introduce a substantially more flexible and complex PSD reporting scheme when the actual control loop is of relatively low complexity</w:t>
      </w:r>
      <w:r w:rsidR="002411C1" w:rsidRPr="001E7AD0">
        <w:t xml:space="preserve"> using a single control loop</w:t>
      </w:r>
      <w:r w:rsidR="000A6953" w:rsidRPr="001E7AD0">
        <w:t>.</w:t>
      </w:r>
      <w:r w:rsidR="00B54D53" w:rsidRPr="001E7AD0">
        <w:t xml:space="preserve"> Unless such benefits are </w:t>
      </w:r>
      <w:r w:rsidR="002411C1" w:rsidRPr="001E7AD0">
        <w:t xml:space="preserve">convincingly </w:t>
      </w:r>
      <w:r w:rsidR="00B54D53" w:rsidRPr="001E7AD0">
        <w:t>presented, RAN1 should not agree to them at this time.</w:t>
      </w:r>
    </w:p>
    <w:p w14:paraId="4F36E263" w14:textId="6DB462C1" w:rsidR="00C42E8B" w:rsidRPr="001E7AD0" w:rsidRDefault="006420BE" w:rsidP="00F45201">
      <w:pPr>
        <w:pStyle w:val="Observation"/>
      </w:pPr>
      <w:bookmarkStart w:id="95" w:name="_Toc87042509"/>
      <w:r w:rsidRPr="001E7AD0">
        <w:t xml:space="preserve">Existing </w:t>
      </w:r>
      <w:r w:rsidR="00A74875" w:rsidRPr="001E7AD0">
        <w:t xml:space="preserve">UL TX power control </w:t>
      </w:r>
      <w:r w:rsidRPr="001E7AD0">
        <w:t>is independent of multiplexing mode, MT’s UL beam and DU resource configuration</w:t>
      </w:r>
      <w:r w:rsidR="00A74875" w:rsidRPr="001E7AD0">
        <w:t>.</w:t>
      </w:r>
      <w:r w:rsidRPr="001E7AD0">
        <w:t xml:space="preserve"> </w:t>
      </w:r>
      <w:r w:rsidR="00470C27" w:rsidRPr="001E7AD0">
        <w:t xml:space="preserve">Without clear </w:t>
      </w:r>
      <w:r w:rsidR="00123D48" w:rsidRPr="001E7AD0">
        <w:t>benefits</w:t>
      </w:r>
      <w:r w:rsidR="00470C27" w:rsidRPr="001E7AD0">
        <w:t xml:space="preserve">, </w:t>
      </w:r>
      <w:r w:rsidRPr="001E7AD0">
        <w:t>a more refined and complex UL PSD reporting</w:t>
      </w:r>
      <w:r w:rsidR="00470C27" w:rsidRPr="001E7AD0">
        <w:t xml:space="preserve"> </w:t>
      </w:r>
      <w:r w:rsidR="007B0E4E" w:rsidRPr="001E7AD0">
        <w:t>should not be specified</w:t>
      </w:r>
      <w:r w:rsidRPr="001E7AD0">
        <w:t>.</w:t>
      </w:r>
      <w:bookmarkEnd w:id="95"/>
    </w:p>
    <w:p w14:paraId="173FC32A" w14:textId="08BA8ECA" w:rsidR="00B54D53" w:rsidRPr="001E7AD0" w:rsidRDefault="007D07A0" w:rsidP="002B1E62">
      <w:pPr>
        <w:jc w:val="both"/>
      </w:pPr>
      <w:r w:rsidRPr="001E7AD0">
        <w:t xml:space="preserve">Also related to the agreement in RAN1 #106bis-e, about what configurations to associate a UL PSD range with, and in line with existing UL TX power control, </w:t>
      </w:r>
      <w:r w:rsidR="000D7B02" w:rsidRPr="001E7AD0">
        <w:t xml:space="preserve">different power control can be used in different cells. </w:t>
      </w:r>
      <w:r w:rsidR="00E44384" w:rsidRPr="001E7AD0">
        <w:t xml:space="preserve">However, </w:t>
      </w:r>
      <w:r w:rsidR="00116751" w:rsidRPr="001E7AD0">
        <w:t xml:space="preserve">the same </w:t>
      </w:r>
      <w:r w:rsidR="00116751" w:rsidRPr="001E7AD0">
        <w:rPr>
          <w:rStyle w:val="CommentReference"/>
        </w:rPr>
        <w:annotationRef/>
      </w:r>
      <w:r w:rsidR="00116751" w:rsidRPr="001E7AD0">
        <w:t xml:space="preserve">DL power control can also be applied to a group of MT CC’s (for same parent link) or DU cells (for same child link) and that seems like a likely and efficient configuration for </w:t>
      </w:r>
      <w:proofErr w:type="spellStart"/>
      <w:r w:rsidR="00116751" w:rsidRPr="001E7AD0">
        <w:t>eIAB</w:t>
      </w:r>
      <w:proofErr w:type="spellEnd"/>
      <w:r w:rsidR="00116751" w:rsidRPr="001E7AD0">
        <w:t>.</w:t>
      </w:r>
    </w:p>
    <w:p w14:paraId="06EE3414" w14:textId="4A95DB64" w:rsidR="00997585" w:rsidRPr="001E7AD0" w:rsidRDefault="00997585" w:rsidP="00EC2503">
      <w:pPr>
        <w:pStyle w:val="Proposal"/>
      </w:pPr>
      <w:bookmarkStart w:id="96" w:name="_Toc87042534"/>
      <w:r w:rsidRPr="001E7AD0">
        <w:t xml:space="preserve">A single indication </w:t>
      </w:r>
      <w:r w:rsidR="006A718E" w:rsidRPr="001E7AD0">
        <w:t>can be</w:t>
      </w:r>
      <w:r w:rsidRPr="001E7AD0">
        <w:t xml:space="preserve"> used for</w:t>
      </w:r>
      <w:r w:rsidR="00EC2503" w:rsidRPr="001E7AD0">
        <w:t xml:space="preserve"> the desired</w:t>
      </w:r>
      <w:r w:rsidRPr="001E7AD0">
        <w:t xml:space="preserve"> UL PSD range for all combinations of MT’s </w:t>
      </w:r>
      <w:r w:rsidR="002B5F8F" w:rsidRPr="001E7AD0">
        <w:t>U</w:t>
      </w:r>
      <w:r w:rsidRPr="001E7AD0">
        <w:t>L beam and MT</w:t>
      </w:r>
      <w:r w:rsidR="002F0E85" w:rsidRPr="001E7AD0">
        <w:t>’s</w:t>
      </w:r>
      <w:r w:rsidRPr="001E7AD0">
        <w:t xml:space="preserve"> CC</w:t>
      </w:r>
      <w:r w:rsidR="002F0E85" w:rsidRPr="001E7AD0">
        <w:t xml:space="preserve">s or </w:t>
      </w:r>
      <w:r w:rsidRPr="001E7AD0">
        <w:t>DU cell</w:t>
      </w:r>
      <w:r w:rsidR="002F0E85" w:rsidRPr="001E7AD0">
        <w:t>s</w:t>
      </w:r>
      <w:r w:rsidRPr="001E7AD0">
        <w:t>.</w:t>
      </w:r>
      <w:bookmarkEnd w:id="96"/>
    </w:p>
    <w:p w14:paraId="147F6E5E" w14:textId="416E6BD3" w:rsidR="000604B0" w:rsidRPr="001E7AD0" w:rsidRDefault="00D319B3" w:rsidP="000F2F30">
      <w:pPr>
        <w:jc w:val="both"/>
      </w:pPr>
      <w:r w:rsidRPr="001E7AD0">
        <w:t>It was also discussed in RAN1 #106bis-e, the possible range of values for the indicated PSD. We think this matter is better served by RAN4’s expertise, and for that reason, we propose to send an LS to RAN4 asking R</w:t>
      </w:r>
      <w:r w:rsidR="00E85E79" w:rsidRPr="001E7AD0">
        <w:t>AN</w:t>
      </w:r>
      <w:r w:rsidRPr="001E7AD0">
        <w:t xml:space="preserve">4 to specify the range </w:t>
      </w:r>
      <w:r w:rsidR="00E85E79" w:rsidRPr="001E7AD0">
        <w:t>o</w:t>
      </w:r>
      <w:r w:rsidRPr="001E7AD0">
        <w:t xml:space="preserve">f values for the </w:t>
      </w:r>
      <w:r w:rsidR="00E85E79" w:rsidRPr="001E7AD0">
        <w:t xml:space="preserve">UL </w:t>
      </w:r>
      <w:r w:rsidRPr="001E7AD0">
        <w:t xml:space="preserve">PSD indication. </w:t>
      </w:r>
    </w:p>
    <w:p w14:paraId="4E7D2368" w14:textId="2A759D49" w:rsidR="003F3E24" w:rsidRPr="001E7AD0" w:rsidRDefault="00BE31BF" w:rsidP="003F3E24">
      <w:pPr>
        <w:pStyle w:val="Proposal"/>
      </w:pPr>
      <w:bookmarkStart w:id="97" w:name="_Toc87042535"/>
      <w:r w:rsidRPr="001E7AD0">
        <w:t>Send LS to RAN4, a</w:t>
      </w:r>
      <w:r w:rsidR="003F3E24" w:rsidRPr="001E7AD0">
        <w:t>sk</w:t>
      </w:r>
      <w:r w:rsidRPr="001E7AD0">
        <w:t>ing RAN4</w:t>
      </w:r>
      <w:r w:rsidR="003F3E24" w:rsidRPr="001E7AD0">
        <w:t xml:space="preserve"> to specify the range of values for the indicated PSD range.</w:t>
      </w:r>
      <w:bookmarkEnd w:id="97"/>
    </w:p>
    <w:p w14:paraId="56A7F7BD" w14:textId="2AB661AE" w:rsidR="00AB2E59" w:rsidRPr="001E7AD0" w:rsidRDefault="0040789E" w:rsidP="00A1710D">
      <w:pPr>
        <w:jc w:val="both"/>
      </w:pPr>
      <w:r w:rsidRPr="001E7AD0">
        <w:t xml:space="preserve">Another outstanding topic is related to the MT’s behavior in case the desired PSD range is not met. </w:t>
      </w:r>
      <w:r w:rsidR="00672930" w:rsidRPr="001E7AD0">
        <w:t xml:space="preserve">For </w:t>
      </w:r>
      <w:r w:rsidR="00C067C8" w:rsidRPr="001E7AD0">
        <w:t xml:space="preserve">the case where simultaneous operation has not been confirmed, the IAB node should stay in TDM. However, there may also be the case when the IAB node is operating </w:t>
      </w:r>
      <w:r w:rsidR="00E86607" w:rsidRPr="001E7AD0">
        <w:t>in FDM and needs to change its desired PSD.</w:t>
      </w:r>
      <w:r w:rsidR="0010494D" w:rsidRPr="001E7AD0">
        <w:t xml:space="preserve"> </w:t>
      </w:r>
      <w:r w:rsidR="001D4EBC" w:rsidRPr="001E7AD0">
        <w:t>That case would require a new desired PSD request and corresponding response upon which, again, the IAB node would need to fall back to TDM mode.</w:t>
      </w:r>
    </w:p>
    <w:p w14:paraId="4F6FC92B" w14:textId="720E7A98" w:rsidR="009730BD" w:rsidRPr="001E7AD0" w:rsidRDefault="009730BD" w:rsidP="001E7AD0">
      <w:pPr>
        <w:pStyle w:val="Proposal"/>
      </w:pPr>
      <w:bookmarkStart w:id="98" w:name="_Toc87042536"/>
      <w:r w:rsidRPr="001E7AD0">
        <w:t xml:space="preserve">If the desired PSD range is not met, the IAB node is expected to </w:t>
      </w:r>
      <w:r w:rsidR="00672930" w:rsidRPr="001E7AD0">
        <w:t>fall back</w:t>
      </w:r>
      <w:r w:rsidRPr="001E7AD0">
        <w:t xml:space="preserve"> </w:t>
      </w:r>
      <w:r w:rsidR="00E86607" w:rsidRPr="001E7AD0">
        <w:t>to its TDM configuration</w:t>
      </w:r>
      <w:r w:rsidRPr="001E7AD0">
        <w:t>.</w:t>
      </w:r>
      <w:bookmarkEnd w:id="98"/>
    </w:p>
    <w:p w14:paraId="6B3446FB" w14:textId="48E9E06A" w:rsidR="00912549" w:rsidRPr="001E7AD0" w:rsidRDefault="00A015AB" w:rsidP="00124BAC">
      <w:pPr>
        <w:jc w:val="both"/>
        <w:rPr>
          <w:rStyle w:val="Strong"/>
          <w:rFonts w:cs="Arial"/>
          <w:b w:val="0"/>
          <w:szCs w:val="20"/>
        </w:rPr>
      </w:pPr>
      <w:r w:rsidRPr="001E7AD0">
        <w:rPr>
          <w:rStyle w:val="Strong"/>
          <w:rFonts w:asciiTheme="minorHAnsi" w:hAnsiTheme="minorHAnsi" w:cstheme="minorHAnsi"/>
          <w:b w:val="0"/>
          <w:bCs w:val="0"/>
          <w:sz w:val="22"/>
        </w:rPr>
        <w:t xml:space="preserve">Finally, in </w:t>
      </w:r>
      <w:r w:rsidRPr="001E7AD0">
        <w:rPr>
          <w:bCs/>
          <w:lang w:eastAsia="ja-JP"/>
        </w:rPr>
        <w:t>RAN1 #106-bis-e</w:t>
      </w:r>
      <w:r w:rsidR="00371B3F" w:rsidRPr="001E7AD0">
        <w:rPr>
          <w:bCs/>
          <w:lang w:eastAsia="ja-JP"/>
        </w:rPr>
        <w:t xml:space="preserve">, </w:t>
      </w:r>
      <w:r w:rsidR="00316F52" w:rsidRPr="001E7AD0">
        <w:rPr>
          <w:bCs/>
          <w:lang w:eastAsia="ja-JP"/>
        </w:rPr>
        <w:t xml:space="preserve">we had the following conclusion related to </w:t>
      </w:r>
      <w:r w:rsidR="00A92C53" w:rsidRPr="001E7AD0">
        <w:rPr>
          <w:bCs/>
          <w:lang w:eastAsia="ja-JP"/>
        </w:rPr>
        <w:t xml:space="preserve">a </w:t>
      </w:r>
      <w:r w:rsidR="000F2FEE" w:rsidRPr="001E7AD0">
        <w:rPr>
          <w:bCs/>
          <w:lang w:eastAsia="ja-JP"/>
        </w:rPr>
        <w:t xml:space="preserve">possible </w:t>
      </w:r>
      <w:r w:rsidR="00972B1D" w:rsidRPr="001E7AD0">
        <w:rPr>
          <w:rStyle w:val="Strong"/>
          <w:rFonts w:cs="Arial"/>
          <w:b w:val="0"/>
          <w:bCs w:val="0"/>
          <w:szCs w:val="20"/>
        </w:rPr>
        <w:t xml:space="preserve">support </w:t>
      </w:r>
      <w:r w:rsidR="00A15EDD" w:rsidRPr="001E7AD0">
        <w:rPr>
          <w:rStyle w:val="Strong"/>
          <w:rFonts w:cs="Arial"/>
          <w:b w:val="0"/>
          <w:bCs w:val="0"/>
          <w:szCs w:val="20"/>
        </w:rPr>
        <w:t xml:space="preserve">for </w:t>
      </w:r>
      <w:r w:rsidR="00972B1D" w:rsidRPr="001E7AD0">
        <w:rPr>
          <w:rStyle w:val="Strong"/>
          <w:rFonts w:cs="Arial"/>
          <w:b w:val="0"/>
          <w:bCs w:val="0"/>
          <w:szCs w:val="20"/>
        </w:rPr>
        <w:t>new triggering conditions to send an updated PHR</w:t>
      </w:r>
      <w:r w:rsidR="001B3535" w:rsidRPr="001E7AD0">
        <w:rPr>
          <w:rStyle w:val="Strong"/>
          <w:rFonts w:cs="Arial"/>
          <w:b w:val="0"/>
          <w:bCs w:val="0"/>
          <w:szCs w:val="20"/>
        </w:rPr>
        <w:t>.</w:t>
      </w:r>
    </w:p>
    <w:tbl>
      <w:tblPr>
        <w:tblStyle w:val="TableGrid"/>
        <w:tblW w:w="0" w:type="auto"/>
        <w:tblLook w:val="04A0" w:firstRow="1" w:lastRow="0" w:firstColumn="1" w:lastColumn="0" w:noHBand="0" w:noVBand="1"/>
      </w:tblPr>
      <w:tblGrid>
        <w:gridCol w:w="9629"/>
      </w:tblGrid>
      <w:tr w:rsidR="001B3535" w:rsidRPr="001E7AD0" w14:paraId="239C287D" w14:textId="77777777" w:rsidTr="001B3535">
        <w:tc>
          <w:tcPr>
            <w:tcW w:w="9629" w:type="dxa"/>
          </w:tcPr>
          <w:p w14:paraId="24383F89" w14:textId="77777777" w:rsidR="001B3535" w:rsidRPr="001E7AD0" w:rsidRDefault="001B3535" w:rsidP="001B3535">
            <w:pPr>
              <w:pStyle w:val="xmsonormal"/>
              <w:spacing w:before="0" w:beforeAutospacing="0" w:after="0" w:afterAutospacing="0"/>
              <w:jc w:val="both"/>
              <w:rPr>
                <w:rStyle w:val="Strong"/>
                <w:color w:val="00B050"/>
                <w:lang w:val="en-US"/>
              </w:rPr>
            </w:pPr>
            <w:r w:rsidRPr="001E7AD0">
              <w:rPr>
                <w:rStyle w:val="Strong"/>
                <w:rFonts w:ascii="Arial" w:hAnsi="Arial" w:cs="Arial"/>
                <w:color w:val="00B050"/>
                <w:sz w:val="20"/>
                <w:szCs w:val="20"/>
                <w:lang w:val="en-US"/>
              </w:rPr>
              <w:t>Conclusion</w:t>
            </w:r>
          </w:p>
          <w:p w14:paraId="4682D117" w14:textId="4B7EA480" w:rsidR="001B3535" w:rsidRPr="001E7AD0" w:rsidRDefault="001B3535" w:rsidP="001E7AD0">
            <w:pPr>
              <w:pStyle w:val="xmsonormal"/>
              <w:spacing w:before="0" w:beforeAutospacing="0" w:after="240" w:afterAutospacing="0"/>
              <w:jc w:val="both"/>
              <w:rPr>
                <w:b/>
                <w:lang w:val="en-US"/>
              </w:rPr>
            </w:pPr>
            <w:r w:rsidRPr="001E7AD0">
              <w:rPr>
                <w:rStyle w:val="Strong"/>
                <w:rFonts w:ascii="Arial" w:hAnsi="Arial" w:cs="Arial"/>
                <w:b w:val="0"/>
                <w:bCs w:val="0"/>
                <w:sz w:val="20"/>
                <w:szCs w:val="20"/>
                <w:lang w:val="en-US"/>
              </w:rPr>
              <w:t>RAN1 to further discuss, under 8.1.2, whether to support new triggering conditions to send an updated PHR (e.g., upon change of multiplexing mode, or applying a desired DL TX power adjustment indication from a child-node).</w:t>
            </w:r>
          </w:p>
        </w:tc>
      </w:tr>
    </w:tbl>
    <w:p w14:paraId="72C4323F" w14:textId="0E32B06B" w:rsidR="0013036A" w:rsidRPr="001E7AD0" w:rsidRDefault="0013036A" w:rsidP="001E7AD0">
      <w:pPr>
        <w:spacing w:before="240"/>
        <w:jc w:val="both"/>
        <w:rPr>
          <w:rStyle w:val="Strong"/>
          <w:rFonts w:asciiTheme="minorHAnsi" w:hAnsiTheme="minorHAnsi" w:cstheme="minorHAnsi"/>
          <w:b w:val="0"/>
          <w:bCs w:val="0"/>
          <w:sz w:val="22"/>
        </w:rPr>
      </w:pPr>
      <w:r w:rsidRPr="001E7AD0">
        <w:t xml:space="preserve">We do not support further discussion on the conclusion. This is because whether there is a need for sending PHR update depends on the necessary conditions/parameters for multiplexing mode adaptation, currently under discussion in </w:t>
      </w:r>
      <w:r w:rsidR="007C4B2C" w:rsidRPr="001E7AD0">
        <w:t xml:space="preserve">A.I. </w:t>
      </w:r>
      <w:r w:rsidRPr="001E7AD0">
        <w:t>8.10.1. Without a clear understanding of the conditions for multiplexing case adaptation and given the extra signaling overhead of sending the PHR update, we do not see the need for further discussions on the conclusion. Instead, given that this is the last RAN1 meeting, it is suggested to prioritize more important aspects.</w:t>
      </w:r>
      <w:r w:rsidRPr="001E7AD0">
        <w:rPr>
          <w:lang w:eastAsia="ja-JP"/>
        </w:rPr>
        <w:t xml:space="preserve"> </w:t>
      </w:r>
    </w:p>
    <w:p w14:paraId="2F070DB8" w14:textId="1D4DC00E" w:rsidR="00912549" w:rsidRPr="001E7AD0" w:rsidRDefault="00912549" w:rsidP="001E7AD0">
      <w:pPr>
        <w:pStyle w:val="Proposal"/>
        <w:tabs>
          <w:tab w:val="clear" w:pos="1304"/>
        </w:tabs>
      </w:pPr>
      <w:bookmarkStart w:id="99" w:name="_Toc87042537"/>
      <w:r w:rsidRPr="001E7AD0">
        <w:t>Discussions on whether to support new triggering conditions to send an updated PHR is down prioritized in RAN1 meeting #107.</w:t>
      </w:r>
      <w:bookmarkEnd w:id="99"/>
    </w:p>
    <w:p w14:paraId="255D639B" w14:textId="149D3BA1" w:rsidR="00C01F33" w:rsidRPr="001E7AD0" w:rsidRDefault="00C01F33" w:rsidP="00FF09B0">
      <w:pPr>
        <w:pStyle w:val="Heading1"/>
        <w:jc w:val="both"/>
        <w:rPr>
          <w:lang w:val="en-US"/>
        </w:rPr>
      </w:pPr>
      <w:r w:rsidRPr="001E7AD0">
        <w:rPr>
          <w:lang w:val="en-US"/>
        </w:rPr>
        <w:t>Conclusion</w:t>
      </w:r>
    </w:p>
    <w:p w14:paraId="5A650F21" w14:textId="77777777" w:rsidR="008E065E" w:rsidRPr="001E7AD0" w:rsidRDefault="008E065E" w:rsidP="00FF09B0">
      <w:pPr>
        <w:pStyle w:val="BodyText"/>
        <w:rPr>
          <w:b/>
          <w:bCs/>
        </w:rPr>
      </w:pPr>
      <w:r w:rsidRPr="001E7AD0">
        <w:t xml:space="preserve">In </w:t>
      </w:r>
      <w:r w:rsidR="007729A2" w:rsidRPr="001E7AD0">
        <w:t xml:space="preserve">the previous </w:t>
      </w:r>
      <w:r w:rsidRPr="001E7AD0">
        <w:t>section</w:t>
      </w:r>
      <w:r w:rsidR="007729A2" w:rsidRPr="001E7AD0">
        <w:t>s</w:t>
      </w:r>
      <w:r w:rsidRPr="001E7AD0">
        <w:t xml:space="preserve"> we made the following observations:</w:t>
      </w:r>
      <w:r w:rsidR="00C93814" w:rsidRPr="001E7AD0">
        <w:rPr>
          <w:b/>
          <w:bCs/>
        </w:rPr>
        <w:t xml:space="preserve"> </w:t>
      </w:r>
    </w:p>
    <w:p w14:paraId="4042DAD3" w14:textId="044D6463" w:rsidR="001853DE" w:rsidRDefault="006F6582" w:rsidP="001853DE">
      <w:pPr>
        <w:pStyle w:val="TableofFigures"/>
        <w:tabs>
          <w:tab w:val="right" w:leader="dot" w:pos="9629"/>
        </w:tabs>
        <w:jc w:val="both"/>
        <w:rPr>
          <w:rFonts w:asciiTheme="minorHAnsi" w:eastAsiaTheme="minorEastAsia" w:hAnsiTheme="minorHAnsi"/>
          <w:b w:val="0"/>
          <w:noProof/>
          <w:sz w:val="22"/>
          <w:lang w:val="sv-SE" w:eastAsia="sv-SE"/>
        </w:rPr>
      </w:pPr>
      <w:r w:rsidRPr="001E7AD0">
        <w:rPr>
          <w:b w:val="0"/>
        </w:rPr>
        <w:lastRenderedPageBreak/>
        <w:fldChar w:fldCharType="begin"/>
      </w:r>
      <w:r w:rsidRPr="001E7AD0">
        <w:rPr>
          <w:b w:val="0"/>
          <w:bCs/>
        </w:rPr>
        <w:instrText xml:space="preserve"> TOC \f O \n \h \z \t "Observation" \c </w:instrText>
      </w:r>
      <w:r w:rsidRPr="001E7AD0">
        <w:rPr>
          <w:b w:val="0"/>
        </w:rPr>
        <w:fldChar w:fldCharType="separate"/>
      </w:r>
      <w:hyperlink w:anchor="_Toc87042479" w:history="1">
        <w:r w:rsidR="001853DE" w:rsidRPr="00E31B3D">
          <w:rPr>
            <w:rStyle w:val="Hyperlink"/>
            <w:noProof/>
          </w:rPr>
          <w:t>Observation 1</w:t>
        </w:r>
        <w:r w:rsidR="001853DE">
          <w:rPr>
            <w:rFonts w:asciiTheme="minorHAnsi" w:eastAsiaTheme="minorEastAsia" w:hAnsiTheme="minorHAnsi"/>
            <w:b w:val="0"/>
            <w:noProof/>
            <w:sz w:val="22"/>
            <w:lang w:val="sv-SE" w:eastAsia="sv-SE"/>
          </w:rPr>
          <w:tab/>
        </w:r>
        <w:r w:rsidR="001853DE" w:rsidRPr="00E31B3D">
          <w:rPr>
            <w:rStyle w:val="Hyperlink"/>
            <w:noProof/>
          </w:rPr>
          <w:t>Many NR deployments use TDD patterns with only one UL slot.</w:t>
        </w:r>
      </w:hyperlink>
    </w:p>
    <w:p w14:paraId="5FD1A432" w14:textId="2C031318"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0" w:history="1">
        <w:r w:rsidRPr="00E31B3D">
          <w:rPr>
            <w:rStyle w:val="Hyperlink"/>
            <w:noProof/>
          </w:rPr>
          <w:t>Observation 2</w:t>
        </w:r>
        <w:r>
          <w:rPr>
            <w:rFonts w:asciiTheme="minorHAnsi" w:eastAsiaTheme="minorEastAsia" w:hAnsiTheme="minorHAnsi"/>
            <w:b w:val="0"/>
            <w:noProof/>
            <w:sz w:val="22"/>
            <w:lang w:val="sv-SE" w:eastAsia="sv-SE"/>
          </w:rPr>
          <w:tab/>
        </w:r>
        <w:r w:rsidRPr="00E31B3D">
          <w:rPr>
            <w:rStyle w:val="Hyperlink"/>
            <w:noProof/>
          </w:rPr>
          <w:t>Co-scheduling an IAB-MT and UEs at parent IAB-nodes prevents the reception of any UE at the IAB-node in the same slot.</w:t>
        </w:r>
      </w:hyperlink>
    </w:p>
    <w:p w14:paraId="08950050" w14:textId="5CCFAA4A"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1" w:history="1">
        <w:r w:rsidRPr="00E31B3D">
          <w:rPr>
            <w:rStyle w:val="Hyperlink"/>
            <w:noProof/>
          </w:rPr>
          <w:t>Observation 3</w:t>
        </w:r>
        <w:r>
          <w:rPr>
            <w:rFonts w:asciiTheme="minorHAnsi" w:eastAsiaTheme="minorEastAsia" w:hAnsiTheme="minorHAnsi"/>
            <w:b w:val="0"/>
            <w:noProof/>
            <w:sz w:val="22"/>
            <w:lang w:val="sv-SE" w:eastAsia="sv-SE"/>
          </w:rPr>
          <w:tab/>
        </w:r>
        <w:r w:rsidRPr="00E31B3D">
          <w:rPr>
            <w:rStyle w:val="Hyperlink"/>
            <w:noProof/>
          </w:rPr>
          <w:t>In IAB networks with a TDD pattern only offering one UL slot per cycle, a UE is not always able to provide HARQ feedback, resulting in regular and unnecessary DL retransmission.</w:t>
        </w:r>
      </w:hyperlink>
    </w:p>
    <w:p w14:paraId="5739B0FD" w14:textId="094DAF40"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2" w:history="1">
        <w:r w:rsidRPr="00E31B3D">
          <w:rPr>
            <w:rStyle w:val="Hyperlink"/>
            <w:noProof/>
          </w:rPr>
          <w:t>Observation 4</w:t>
        </w:r>
        <w:r>
          <w:rPr>
            <w:rFonts w:asciiTheme="minorHAnsi" w:eastAsiaTheme="minorEastAsia" w:hAnsiTheme="minorHAnsi"/>
            <w:b w:val="0"/>
            <w:noProof/>
            <w:sz w:val="22"/>
            <w:lang w:val="sv-SE" w:eastAsia="sv-SE"/>
          </w:rPr>
          <w:tab/>
        </w:r>
        <w:r w:rsidRPr="00E31B3D">
          <w:rPr>
            <w:rStyle w:val="Hyperlink"/>
            <w:noProof/>
          </w:rPr>
          <w:t>In IAB networks with a TDD pattern only offering one UL slot per cycle, a UE is not always able to timely request an UL scheduling.</w:t>
        </w:r>
      </w:hyperlink>
    </w:p>
    <w:p w14:paraId="5B47AF07" w14:textId="78DF6C37"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3" w:history="1">
        <w:r w:rsidRPr="00E31B3D">
          <w:rPr>
            <w:rStyle w:val="Hyperlink"/>
            <w:noProof/>
          </w:rPr>
          <w:t>Observation 5</w:t>
        </w:r>
        <w:r>
          <w:rPr>
            <w:rFonts w:asciiTheme="minorHAnsi" w:eastAsiaTheme="minorEastAsia" w:hAnsiTheme="minorHAnsi"/>
            <w:b w:val="0"/>
            <w:noProof/>
            <w:sz w:val="22"/>
            <w:lang w:val="sv-SE" w:eastAsia="sv-SE"/>
          </w:rPr>
          <w:tab/>
        </w:r>
        <w:r w:rsidRPr="00E31B3D">
          <w:rPr>
            <w:rStyle w:val="Hyperlink"/>
            <w:noProof/>
          </w:rPr>
          <w:t>In certain TDD configurations it is not possible to operate MT transmission in UL slot without severe impact on performance of access UE.</w:t>
        </w:r>
      </w:hyperlink>
    </w:p>
    <w:p w14:paraId="68128691" w14:textId="06B15434"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4" w:history="1">
        <w:r w:rsidRPr="00E31B3D">
          <w:rPr>
            <w:rStyle w:val="Hyperlink"/>
            <w:noProof/>
          </w:rPr>
          <w:t>Observation 6</w:t>
        </w:r>
        <w:r>
          <w:rPr>
            <w:rFonts w:asciiTheme="minorHAnsi" w:eastAsiaTheme="minorEastAsia" w:hAnsiTheme="minorHAnsi"/>
            <w:b w:val="0"/>
            <w:noProof/>
            <w:sz w:val="22"/>
            <w:lang w:val="sv-SE" w:eastAsia="sv-SE"/>
          </w:rPr>
          <w:tab/>
        </w:r>
        <w:r w:rsidRPr="00E31B3D">
          <w:rPr>
            <w:rStyle w:val="Hyperlink"/>
            <w:noProof/>
          </w:rPr>
          <w:t>If co-scheduled in UL slots, an IAB-MT may have to reduce transmit power, in turn reducing BH performance, to avoid causing interference in its own and neighboring RANs.</w:t>
        </w:r>
      </w:hyperlink>
    </w:p>
    <w:p w14:paraId="29C15F84" w14:textId="531851FC"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5" w:history="1">
        <w:r w:rsidRPr="00E31B3D">
          <w:rPr>
            <w:rStyle w:val="Hyperlink"/>
            <w:noProof/>
          </w:rPr>
          <w:t>Observation 7</w:t>
        </w:r>
        <w:r>
          <w:rPr>
            <w:rFonts w:asciiTheme="minorHAnsi" w:eastAsiaTheme="minorEastAsia" w:hAnsiTheme="minorHAnsi"/>
            <w:b w:val="0"/>
            <w:noProof/>
            <w:sz w:val="22"/>
            <w:lang w:val="sv-SE" w:eastAsia="sv-SE"/>
          </w:rPr>
          <w:tab/>
        </w:r>
        <w:r w:rsidRPr="00E31B3D">
          <w:rPr>
            <w:rStyle w:val="Hyperlink"/>
            <w:noProof/>
          </w:rPr>
          <w:t>An IAB-MT transmission in DL slots can be with maximum power improving UL BH performance and allowing large ISD.</w:t>
        </w:r>
      </w:hyperlink>
    </w:p>
    <w:p w14:paraId="7A7A0193" w14:textId="23158E18"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6" w:history="1">
        <w:r w:rsidRPr="00E31B3D">
          <w:rPr>
            <w:rStyle w:val="Hyperlink"/>
            <w:noProof/>
          </w:rPr>
          <w:t>Observation 8</w:t>
        </w:r>
        <w:r>
          <w:rPr>
            <w:rFonts w:asciiTheme="minorHAnsi" w:eastAsiaTheme="minorEastAsia" w:hAnsiTheme="minorHAnsi"/>
            <w:b w:val="0"/>
            <w:noProof/>
            <w:sz w:val="22"/>
            <w:lang w:val="sv-SE" w:eastAsia="sv-SE"/>
          </w:rPr>
          <w:tab/>
        </w:r>
        <w:r w:rsidRPr="00E31B3D">
          <w:rPr>
            <w:rStyle w:val="Hyperlink"/>
            <w:noProof/>
          </w:rPr>
          <w:t>Using Case-6 timing for the MT’s UL eliminates the need for implementing variable transmission timing.</w:t>
        </w:r>
      </w:hyperlink>
    </w:p>
    <w:p w14:paraId="359B4E34" w14:textId="43A882B9"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7" w:history="1">
        <w:r w:rsidRPr="00E31B3D">
          <w:rPr>
            <w:rStyle w:val="Hyperlink"/>
            <w:noProof/>
          </w:rPr>
          <w:t>Observation 9</w:t>
        </w:r>
        <w:r>
          <w:rPr>
            <w:rFonts w:asciiTheme="minorHAnsi" w:eastAsiaTheme="minorEastAsia" w:hAnsiTheme="minorHAnsi"/>
            <w:b w:val="0"/>
            <w:noProof/>
            <w:sz w:val="22"/>
            <w:lang w:val="sv-SE" w:eastAsia="sv-SE"/>
          </w:rPr>
          <w:tab/>
        </w:r>
        <w:r w:rsidRPr="00E31B3D">
          <w:rPr>
            <w:rStyle w:val="Hyperlink"/>
            <w:noProof/>
          </w:rPr>
          <w:t>IAB-MT transmissions in DL slots can provide higher flexibility in configuring resources.</w:t>
        </w:r>
      </w:hyperlink>
    </w:p>
    <w:p w14:paraId="2213E6A7" w14:textId="045BF1BC"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8" w:history="1">
        <w:r w:rsidRPr="00E31B3D">
          <w:rPr>
            <w:rStyle w:val="Hyperlink"/>
            <w:noProof/>
          </w:rPr>
          <w:t>Observation 10</w:t>
        </w:r>
        <w:r>
          <w:rPr>
            <w:rFonts w:asciiTheme="minorHAnsi" w:eastAsiaTheme="minorEastAsia" w:hAnsiTheme="minorHAnsi"/>
            <w:b w:val="0"/>
            <w:noProof/>
            <w:sz w:val="22"/>
            <w:lang w:val="sv-SE" w:eastAsia="sv-SE"/>
          </w:rPr>
          <w:tab/>
        </w:r>
        <w:r w:rsidRPr="00E31B3D">
          <w:rPr>
            <w:rStyle w:val="Hyperlink"/>
            <w:noProof/>
          </w:rPr>
          <w:t>IAB-MT transmissions in DL slot make an IAB-node more similar to a gNB with minimum effect on UE operation.</w:t>
        </w:r>
      </w:hyperlink>
    </w:p>
    <w:p w14:paraId="70844C43" w14:textId="23D67526"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89" w:history="1">
        <w:r w:rsidRPr="00E31B3D">
          <w:rPr>
            <w:rStyle w:val="Hyperlink"/>
            <w:noProof/>
          </w:rPr>
          <w:t>Observation 11</w:t>
        </w:r>
        <w:r>
          <w:rPr>
            <w:rFonts w:asciiTheme="minorHAnsi" w:eastAsiaTheme="minorEastAsia" w:hAnsiTheme="minorHAnsi"/>
            <w:b w:val="0"/>
            <w:noProof/>
            <w:sz w:val="22"/>
            <w:lang w:val="sv-SE" w:eastAsia="sv-SE"/>
          </w:rPr>
          <w:tab/>
        </w:r>
        <w:r w:rsidRPr="00E31B3D">
          <w:rPr>
            <w:rStyle w:val="Hyperlink"/>
            <w:noProof/>
          </w:rPr>
          <w:t>Case-6 only is a valid configuration that can provide clear advantages especially for wide-area deployments and for TDD patterns with a single UL slot.</w:t>
        </w:r>
      </w:hyperlink>
    </w:p>
    <w:p w14:paraId="1E6E9E01" w14:textId="73865046"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0" w:history="1">
        <w:r w:rsidRPr="00E31B3D">
          <w:rPr>
            <w:rStyle w:val="Hyperlink"/>
            <w:noProof/>
          </w:rPr>
          <w:t>Observation 12</w:t>
        </w:r>
        <w:r>
          <w:rPr>
            <w:rFonts w:asciiTheme="minorHAnsi" w:eastAsiaTheme="minorEastAsia" w:hAnsiTheme="minorHAnsi"/>
            <w:b w:val="0"/>
            <w:noProof/>
            <w:sz w:val="22"/>
            <w:lang w:val="sv-SE" w:eastAsia="sv-SE"/>
          </w:rPr>
          <w:tab/>
        </w:r>
        <w:r w:rsidRPr="00E31B3D">
          <w:rPr>
            <w:rStyle w:val="Hyperlink"/>
            <w:noProof/>
          </w:rPr>
          <w:t>In Case-6 timing, the IAB-MT timing is not determined by the parent IAB-node, the TA is set by the IAB-node.</w:t>
        </w:r>
      </w:hyperlink>
    </w:p>
    <w:p w14:paraId="14B042FD" w14:textId="7DD4452E"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1" w:history="1">
        <w:r w:rsidRPr="00E31B3D">
          <w:rPr>
            <w:rStyle w:val="Hyperlink"/>
            <w:noProof/>
          </w:rPr>
          <w:t>Observation 13</w:t>
        </w:r>
        <w:r>
          <w:rPr>
            <w:rFonts w:asciiTheme="minorHAnsi" w:eastAsiaTheme="minorEastAsia" w:hAnsiTheme="minorHAnsi"/>
            <w:b w:val="0"/>
            <w:noProof/>
            <w:sz w:val="22"/>
            <w:lang w:val="sv-SE" w:eastAsia="sv-SE"/>
          </w:rPr>
          <w:tab/>
        </w:r>
        <w:r w:rsidRPr="00E31B3D">
          <w:rPr>
            <w:rStyle w:val="Hyperlink"/>
            <w:noProof/>
          </w:rPr>
          <w:t>An MT is always aware of the N_TA equivalent to its current TA. The TA framework definitions are also well defined for the Case-6 timing configuration.</w:t>
        </w:r>
      </w:hyperlink>
    </w:p>
    <w:p w14:paraId="4906A758" w14:textId="620B2432"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2" w:history="1">
        <w:r w:rsidRPr="00E31B3D">
          <w:rPr>
            <w:rStyle w:val="Hyperlink"/>
            <w:noProof/>
          </w:rPr>
          <w:t>Observation 14</w:t>
        </w:r>
        <w:r>
          <w:rPr>
            <w:rFonts w:asciiTheme="minorHAnsi" w:eastAsiaTheme="minorEastAsia" w:hAnsiTheme="minorHAnsi"/>
            <w:b w:val="0"/>
            <w:noProof/>
            <w:sz w:val="22"/>
            <w:lang w:val="sv-SE" w:eastAsia="sv-SE"/>
          </w:rPr>
          <w:tab/>
        </w:r>
        <w:r w:rsidRPr="00E31B3D">
          <w:rPr>
            <w:rStyle w:val="Hyperlink"/>
            <w:noProof/>
          </w:rPr>
          <w:t>By agreement, the IAB-MT cannot follow TA commands, while the IAB-node is operating in Case-6 timing configuration.</w:t>
        </w:r>
      </w:hyperlink>
    </w:p>
    <w:p w14:paraId="1F4EC718" w14:textId="0B4960B2"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3" w:history="1">
        <w:r w:rsidRPr="00E31B3D">
          <w:rPr>
            <w:rStyle w:val="Hyperlink"/>
            <w:noProof/>
          </w:rPr>
          <w:t>Observation 15</w:t>
        </w:r>
        <w:r>
          <w:rPr>
            <w:rFonts w:asciiTheme="minorHAnsi" w:eastAsiaTheme="minorEastAsia" w:hAnsiTheme="minorHAnsi"/>
            <w:b w:val="0"/>
            <w:noProof/>
            <w:sz w:val="22"/>
            <w:lang w:val="sv-SE" w:eastAsia="sv-SE"/>
          </w:rPr>
          <w:tab/>
        </w:r>
        <w:r w:rsidRPr="00E31B3D">
          <w:rPr>
            <w:rStyle w:val="Hyperlink"/>
            <w:noProof/>
          </w:rPr>
          <w:t>Presently, T_delta,index is unspecified for values beyond 1199.</w:t>
        </w:r>
      </w:hyperlink>
    </w:p>
    <w:p w14:paraId="2C389B51" w14:textId="7B13801D"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4" w:history="1">
        <w:r w:rsidRPr="00E31B3D">
          <w:rPr>
            <w:rStyle w:val="Hyperlink"/>
            <w:noProof/>
          </w:rPr>
          <w:t>Observation 16</w:t>
        </w:r>
        <w:r>
          <w:rPr>
            <w:rFonts w:asciiTheme="minorHAnsi" w:eastAsiaTheme="minorEastAsia" w:hAnsiTheme="minorHAnsi"/>
            <w:b w:val="0"/>
            <w:noProof/>
            <w:sz w:val="22"/>
            <w:lang w:val="sv-SE" w:eastAsia="sv-SE"/>
          </w:rPr>
          <w:tab/>
        </w:r>
        <w:r w:rsidRPr="00E31B3D">
          <w:rPr>
            <w:rStyle w:val="Hyperlink"/>
            <w:noProof/>
          </w:rPr>
          <w:t xml:space="preserve">The RAN4 recommendations in Rel-16 on the T_delta range cover only cases when the parent IAB-node’s UL reception timing </w:t>
        </w:r>
        <w:r w:rsidRPr="00E31B3D">
          <w:rPr>
            <w:rStyle w:val="Hyperlink"/>
            <w:i/>
            <w:iCs/>
            <w:noProof/>
          </w:rPr>
          <w:t>is strictly advanced</w:t>
        </w:r>
        <w:r w:rsidRPr="00E31B3D">
          <w:rPr>
            <w:rStyle w:val="Hyperlink"/>
            <w:noProof/>
          </w:rPr>
          <w:t xml:space="preserve"> relative to the DL transmission timing, i.e., Case-1, not Case-6.</w:t>
        </w:r>
      </w:hyperlink>
    </w:p>
    <w:p w14:paraId="12AB43BA" w14:textId="0C6C6FCA"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5" w:history="1">
        <w:r w:rsidRPr="00E31B3D">
          <w:rPr>
            <w:rStyle w:val="Hyperlink"/>
            <w:noProof/>
          </w:rPr>
          <w:t>Observation 17</w:t>
        </w:r>
        <w:r>
          <w:rPr>
            <w:rFonts w:asciiTheme="minorHAnsi" w:eastAsiaTheme="minorEastAsia" w:hAnsiTheme="minorHAnsi"/>
            <w:b w:val="0"/>
            <w:noProof/>
            <w:sz w:val="22"/>
            <w:lang w:val="sv-SE" w:eastAsia="sv-SE"/>
          </w:rPr>
          <w:tab/>
        </w:r>
        <w:r w:rsidRPr="00E31B3D">
          <w:rPr>
            <w:rStyle w:val="Hyperlink"/>
            <w:noProof/>
          </w:rPr>
          <w:t>Rel-16 OTA synchronization specification does not support maintaining Case-6 timing mode.</w:t>
        </w:r>
      </w:hyperlink>
    </w:p>
    <w:p w14:paraId="4F51ED1E" w14:textId="7DF482F5"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6" w:history="1">
        <w:r w:rsidRPr="00E31B3D">
          <w:rPr>
            <w:rStyle w:val="Hyperlink"/>
            <w:noProof/>
          </w:rPr>
          <w:t>Observation 18</w:t>
        </w:r>
        <w:r>
          <w:rPr>
            <w:rFonts w:asciiTheme="minorHAnsi" w:eastAsiaTheme="minorEastAsia" w:hAnsiTheme="minorHAnsi"/>
            <w:b w:val="0"/>
            <w:noProof/>
            <w:sz w:val="22"/>
            <w:lang w:val="sv-SE" w:eastAsia="sv-SE"/>
          </w:rPr>
          <w:tab/>
        </w:r>
        <w:r w:rsidRPr="00E31B3D">
          <w:rPr>
            <w:rStyle w:val="Hyperlink"/>
            <w:noProof/>
          </w:rPr>
          <w:t>The minimum index values for T_delta,index in a Case-6 timing configuration are supported by current specification of the T_delta MAC CE signaling format.</w:t>
        </w:r>
      </w:hyperlink>
    </w:p>
    <w:p w14:paraId="15027ABB" w14:textId="42B2C1E7"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7" w:history="1">
        <w:r w:rsidRPr="00E31B3D">
          <w:rPr>
            <w:rStyle w:val="Hyperlink"/>
            <w:noProof/>
          </w:rPr>
          <w:t>Observation 19</w:t>
        </w:r>
        <w:r>
          <w:rPr>
            <w:rFonts w:asciiTheme="minorHAnsi" w:eastAsiaTheme="minorEastAsia" w:hAnsiTheme="minorHAnsi"/>
            <w:b w:val="0"/>
            <w:noProof/>
            <w:sz w:val="22"/>
            <w:lang w:val="sv-SE" w:eastAsia="sv-SE"/>
          </w:rPr>
          <w:tab/>
        </w:r>
        <w:r w:rsidRPr="00E31B3D">
          <w:rPr>
            <w:rStyle w:val="Hyperlink"/>
            <w:noProof/>
          </w:rPr>
          <w:t>Changing IAB-node configuration to a Case-1 timing configuration is not a solution to maintaining the state of Case-6 timing configuration.</w:t>
        </w:r>
      </w:hyperlink>
    </w:p>
    <w:p w14:paraId="1B2B21D1" w14:textId="5C72CD73"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8" w:history="1">
        <w:r w:rsidRPr="00E31B3D">
          <w:rPr>
            <w:rStyle w:val="Hyperlink"/>
            <w:noProof/>
          </w:rPr>
          <w:t>Observation 20</w:t>
        </w:r>
        <w:r>
          <w:rPr>
            <w:rFonts w:asciiTheme="minorHAnsi" w:eastAsiaTheme="minorEastAsia" w:hAnsiTheme="minorHAnsi"/>
            <w:b w:val="0"/>
            <w:noProof/>
            <w:sz w:val="22"/>
            <w:lang w:val="sv-SE" w:eastAsia="sv-SE"/>
          </w:rPr>
          <w:tab/>
        </w:r>
        <w:r w:rsidRPr="00E31B3D">
          <w:rPr>
            <w:rStyle w:val="Hyperlink"/>
            <w:noProof/>
          </w:rPr>
          <w:t>Alt 1 in the RAN1#107-e agreement to downselect an OTA timing synchronization mechanism to enable/maintain Case 6 timing mode violates a previous agreement.</w:t>
        </w:r>
      </w:hyperlink>
    </w:p>
    <w:p w14:paraId="60BD0625" w14:textId="38EDDB14"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499" w:history="1">
        <w:r w:rsidRPr="00E31B3D">
          <w:rPr>
            <w:rStyle w:val="Hyperlink"/>
            <w:noProof/>
          </w:rPr>
          <w:t>Observation 21</w:t>
        </w:r>
        <w:r>
          <w:rPr>
            <w:rFonts w:asciiTheme="minorHAnsi" w:eastAsiaTheme="minorEastAsia" w:hAnsiTheme="minorHAnsi"/>
            <w:b w:val="0"/>
            <w:noProof/>
            <w:sz w:val="22"/>
            <w:lang w:val="sv-SE" w:eastAsia="sv-SE"/>
          </w:rPr>
          <w:tab/>
        </w:r>
        <w:r w:rsidRPr="00E31B3D">
          <w:rPr>
            <w:rStyle w:val="Hyperlink"/>
            <w:noProof/>
          </w:rPr>
          <w:t>There has not been any discussion so far on how to initialize a parent IAB-node’s UL Rx for receiving from an IAB-node operating in Case-6 timing. There must be at least one initial successful reception.</w:t>
        </w:r>
      </w:hyperlink>
    </w:p>
    <w:p w14:paraId="4EA1B49F" w14:textId="79006D70"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0" w:history="1">
        <w:r w:rsidRPr="00E31B3D">
          <w:rPr>
            <w:rStyle w:val="Hyperlink"/>
            <w:noProof/>
          </w:rPr>
          <w:t>Observation 22</w:t>
        </w:r>
        <w:r>
          <w:rPr>
            <w:rFonts w:asciiTheme="minorHAnsi" w:eastAsiaTheme="minorEastAsia" w:hAnsiTheme="minorHAnsi"/>
            <w:b w:val="0"/>
            <w:noProof/>
            <w:sz w:val="22"/>
            <w:lang w:val="sv-SE" w:eastAsia="sv-SE"/>
          </w:rPr>
          <w:tab/>
        </w:r>
        <w:r w:rsidRPr="00E31B3D">
          <w:rPr>
            <w:rStyle w:val="Hyperlink"/>
            <w:noProof/>
          </w:rPr>
          <w:t>The parent IAB-node knows neither T_PN nor the IAB-node’s TA, unless provided with additional information.</w:t>
        </w:r>
      </w:hyperlink>
    </w:p>
    <w:p w14:paraId="2C9B2948" w14:textId="068A8D7A"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1" w:history="1">
        <w:r w:rsidRPr="00E31B3D">
          <w:rPr>
            <w:rStyle w:val="Hyperlink"/>
            <w:noProof/>
          </w:rPr>
          <w:t>Observation 23</w:t>
        </w:r>
        <w:r>
          <w:rPr>
            <w:rFonts w:asciiTheme="minorHAnsi" w:eastAsiaTheme="minorEastAsia" w:hAnsiTheme="minorHAnsi"/>
            <w:b w:val="0"/>
            <w:noProof/>
            <w:sz w:val="22"/>
            <w:lang w:val="sv-SE" w:eastAsia="sv-SE"/>
          </w:rPr>
          <w:tab/>
        </w:r>
        <w:r w:rsidRPr="00E31B3D">
          <w:rPr>
            <w:rStyle w:val="Hyperlink"/>
            <w:noProof/>
          </w:rPr>
          <w:t>For a parent IAB-node to know its child BH link propagation delay to an IAB-node to be operating in Case-6, the IAB-node can provide either its TA or its estimate of its parent BH link propagation delay.</w:t>
        </w:r>
      </w:hyperlink>
    </w:p>
    <w:p w14:paraId="578B69C0" w14:textId="2E8D67E9"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2" w:history="1">
        <w:r w:rsidRPr="00E31B3D">
          <w:rPr>
            <w:rStyle w:val="Hyperlink"/>
            <w:noProof/>
          </w:rPr>
          <w:t>As an alternative to signaling TA or T_PN to the parent node, the IAB-node could simply indicate to its parent node by how much the IAB-node would change its timing from its current UL Tx timing to the target UL Tx timing. The parent node can then know by how much a future UL Rx timing during Case-6 operation will differ from the parent node’s current one.</w:t>
        </w:r>
      </w:hyperlink>
    </w:p>
    <w:p w14:paraId="1A64C63D" w14:textId="5E2F5361"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3" w:history="1">
        <w:r w:rsidRPr="00E31B3D">
          <w:rPr>
            <w:rStyle w:val="Hyperlink"/>
            <w:iCs/>
            <w:noProof/>
          </w:rPr>
          <w:t>Observation 24</w:t>
        </w:r>
        <w:r>
          <w:rPr>
            <w:rFonts w:asciiTheme="minorHAnsi" w:eastAsiaTheme="minorEastAsia" w:hAnsiTheme="minorHAnsi"/>
            <w:b w:val="0"/>
            <w:noProof/>
            <w:sz w:val="22"/>
            <w:lang w:val="sv-SE" w:eastAsia="sv-SE"/>
          </w:rPr>
          <w:tab/>
        </w:r>
        <w:r w:rsidRPr="00E31B3D">
          <w:rPr>
            <w:rStyle w:val="Hyperlink"/>
            <w:noProof/>
          </w:rPr>
          <w:t>One of the following three alternatives can be selected to initialize a parent IAB-node’s UL Rx timing for receiving from an IAB-node operating in Case-6 timing:</w:t>
        </w:r>
      </w:hyperlink>
    </w:p>
    <w:p w14:paraId="2715E3AF" w14:textId="594E79F6"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4" w:history="1">
        <w:r w:rsidRPr="00E31B3D">
          <w:rPr>
            <w:rStyle w:val="Hyperlink"/>
            <w:noProof/>
          </w:rPr>
          <w:t>The IAB-node indicates to its parent node Alt. 1: its TA, or Alt. 2: its estimate of its parent BH link propagation delay, or Alt. 3: by how much it will change its UL Tx timing from its current timing to the target timing.</w:t>
        </w:r>
      </w:hyperlink>
    </w:p>
    <w:p w14:paraId="0DCC7C08" w14:textId="31AAC5A7"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5" w:history="1">
        <w:r w:rsidRPr="00E31B3D">
          <w:rPr>
            <w:rStyle w:val="Hyperlink"/>
            <w:noProof/>
          </w:rPr>
          <w:t>Observation 25</w:t>
        </w:r>
        <w:r>
          <w:rPr>
            <w:rFonts w:asciiTheme="minorHAnsi" w:eastAsiaTheme="minorEastAsia" w:hAnsiTheme="minorHAnsi"/>
            <w:b w:val="0"/>
            <w:noProof/>
            <w:sz w:val="22"/>
            <w:lang w:val="sv-SE" w:eastAsia="sv-SE"/>
          </w:rPr>
          <w:tab/>
        </w:r>
        <w:r w:rsidRPr="00E31B3D">
          <w:rPr>
            <w:rStyle w:val="Hyperlink"/>
            <w:noProof/>
          </w:rPr>
          <w:t>TX power control is a trade-off between power control flexibility and signaling overhead.</w:t>
        </w:r>
      </w:hyperlink>
    </w:p>
    <w:p w14:paraId="78BEEF02" w14:textId="2235B618"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6" w:history="1">
        <w:r w:rsidRPr="00E31B3D">
          <w:rPr>
            <w:rStyle w:val="Hyperlink"/>
            <w:noProof/>
          </w:rPr>
          <w:t>Observation 26</w:t>
        </w:r>
        <w:r>
          <w:rPr>
            <w:rFonts w:asciiTheme="minorHAnsi" w:eastAsiaTheme="minorEastAsia" w:hAnsiTheme="minorHAnsi"/>
            <w:b w:val="0"/>
            <w:noProof/>
            <w:sz w:val="22"/>
            <w:lang w:val="sv-SE" w:eastAsia="sv-SE"/>
          </w:rPr>
          <w:tab/>
        </w:r>
        <w:r w:rsidRPr="00E31B3D">
          <w:rPr>
            <w:rStyle w:val="Hyperlink"/>
            <w:noProof/>
          </w:rPr>
          <w:t>UL PSD range indication and DL power control are introduced to support simultaneous transmission and simultaneous reception and typically, only for IAB nodes in Case-6 and Case-7 timing, respectively.</w:t>
        </w:r>
      </w:hyperlink>
    </w:p>
    <w:p w14:paraId="4FE41118" w14:textId="2B27B6F0"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7" w:history="1">
        <w:r w:rsidRPr="00E31B3D">
          <w:rPr>
            <w:rStyle w:val="Hyperlink"/>
            <w:noProof/>
          </w:rPr>
          <w:t>Observation 27</w:t>
        </w:r>
        <w:r>
          <w:rPr>
            <w:rFonts w:asciiTheme="minorHAnsi" w:eastAsiaTheme="minorEastAsia" w:hAnsiTheme="minorHAnsi"/>
            <w:b w:val="0"/>
            <w:noProof/>
            <w:sz w:val="22"/>
            <w:lang w:val="sv-SE" w:eastAsia="sv-SE"/>
          </w:rPr>
          <w:tab/>
        </w:r>
        <w:r w:rsidRPr="00E31B3D">
          <w:rPr>
            <w:rStyle w:val="Hyperlink"/>
            <w:noProof/>
          </w:rPr>
          <w:t>The parent node performing UL/DL TX power control does not necessarily know about the IAB node’s H/S/NA resource configuration and there is no mechanism for efficient indication.</w:t>
        </w:r>
      </w:hyperlink>
    </w:p>
    <w:p w14:paraId="7B7098D0" w14:textId="36509441"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8" w:history="1">
        <w:r w:rsidRPr="00E31B3D">
          <w:rPr>
            <w:rStyle w:val="Hyperlink"/>
            <w:noProof/>
          </w:rPr>
          <w:t>Considering instead which signals and channels that are transmitted with sufficient transmit power so that a receiving IAB node would benefit from DL TX power control, only PDSCH remains. By restricting DL TX power control to PDSCH and related CSI-RS, risks are severely minimized with only marginal performance loss.</w:t>
        </w:r>
      </w:hyperlink>
    </w:p>
    <w:p w14:paraId="29A34E43" w14:textId="5AD0D816"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09" w:history="1">
        <w:r w:rsidRPr="00E31B3D">
          <w:rPr>
            <w:rStyle w:val="Hyperlink"/>
            <w:noProof/>
          </w:rPr>
          <w:t>Observation 28</w:t>
        </w:r>
        <w:r>
          <w:rPr>
            <w:rFonts w:asciiTheme="minorHAnsi" w:eastAsiaTheme="minorEastAsia" w:hAnsiTheme="minorHAnsi"/>
            <w:b w:val="0"/>
            <w:noProof/>
            <w:sz w:val="22"/>
            <w:lang w:val="sv-SE" w:eastAsia="sv-SE"/>
          </w:rPr>
          <w:tab/>
        </w:r>
        <w:r w:rsidRPr="00E31B3D">
          <w:rPr>
            <w:rStyle w:val="Hyperlink"/>
            <w:noProof/>
          </w:rPr>
          <w:t>Existing UL TX power control is independent of multiplexing mode, MT’s UL beam and DU resource configuration. Without clear benefits, a more refined and complex UL PSD reporting should not be specified.</w:t>
        </w:r>
      </w:hyperlink>
    </w:p>
    <w:p w14:paraId="7D91EC5D" w14:textId="78FE2CFD" w:rsidR="006E1C82" w:rsidRPr="001E7AD0" w:rsidRDefault="006F6582" w:rsidP="001853DE">
      <w:pPr>
        <w:pStyle w:val="BodyText"/>
        <w:rPr>
          <w:b/>
          <w:bCs/>
        </w:rPr>
      </w:pPr>
      <w:r w:rsidRPr="001E7AD0">
        <w:rPr>
          <w:b/>
        </w:rPr>
        <w:fldChar w:fldCharType="end"/>
      </w:r>
    </w:p>
    <w:p w14:paraId="6225A1B8" w14:textId="77777777" w:rsidR="006E1C82" w:rsidRPr="001E7AD0" w:rsidRDefault="008E065E" w:rsidP="001853DE">
      <w:pPr>
        <w:pStyle w:val="BodyText"/>
      </w:pPr>
      <w:r w:rsidRPr="001E7AD0">
        <w:t xml:space="preserve">Based on the discussion in </w:t>
      </w:r>
      <w:r w:rsidR="007729A2" w:rsidRPr="001E7AD0">
        <w:t xml:space="preserve">the previous </w:t>
      </w:r>
      <w:r w:rsidRPr="001E7AD0">
        <w:t>section</w:t>
      </w:r>
      <w:r w:rsidR="007729A2" w:rsidRPr="001E7AD0">
        <w:t>s</w:t>
      </w:r>
      <w:r w:rsidRPr="001E7AD0">
        <w:t xml:space="preserve"> we propose the following:</w:t>
      </w:r>
    </w:p>
    <w:p w14:paraId="5808837A" w14:textId="7B0FF681" w:rsidR="001853DE" w:rsidRDefault="006E1C82" w:rsidP="001853DE">
      <w:pPr>
        <w:pStyle w:val="TableofFigures"/>
        <w:tabs>
          <w:tab w:val="right" w:leader="dot" w:pos="9629"/>
        </w:tabs>
        <w:jc w:val="both"/>
        <w:rPr>
          <w:rFonts w:asciiTheme="minorHAnsi" w:eastAsiaTheme="minorEastAsia" w:hAnsiTheme="minorHAnsi"/>
          <w:b w:val="0"/>
          <w:noProof/>
          <w:sz w:val="22"/>
          <w:lang w:val="sv-SE" w:eastAsia="sv-SE"/>
        </w:rPr>
      </w:pPr>
      <w:r w:rsidRPr="001E7AD0">
        <w:rPr>
          <w:b w:val="0"/>
        </w:rPr>
        <w:fldChar w:fldCharType="begin"/>
      </w:r>
      <w:r w:rsidRPr="001E7AD0">
        <w:rPr>
          <w:b w:val="0"/>
          <w:bCs/>
        </w:rPr>
        <w:instrText xml:space="preserve"> TOC \n \h \z \t "Proposal" \c </w:instrText>
      </w:r>
      <w:r w:rsidRPr="001E7AD0">
        <w:rPr>
          <w:b w:val="0"/>
        </w:rPr>
        <w:fldChar w:fldCharType="separate"/>
      </w:r>
      <w:hyperlink w:anchor="_Toc87042510" w:history="1">
        <w:r w:rsidR="001853DE" w:rsidRPr="00B22698">
          <w:rPr>
            <w:rStyle w:val="Hyperlink"/>
            <w:noProof/>
            <w14:scene3d>
              <w14:camera w14:prst="orthographicFront"/>
              <w14:lightRig w14:rig="threePt" w14:dir="t">
                <w14:rot w14:lat="0" w14:lon="0" w14:rev="0"/>
              </w14:lightRig>
            </w14:scene3d>
          </w:rPr>
          <w:t>Proposal 1</w:t>
        </w:r>
        <w:r w:rsidR="001853DE">
          <w:rPr>
            <w:rFonts w:asciiTheme="minorHAnsi" w:eastAsiaTheme="minorEastAsia" w:hAnsiTheme="minorHAnsi"/>
            <w:b w:val="0"/>
            <w:noProof/>
            <w:sz w:val="22"/>
            <w:lang w:val="sv-SE" w:eastAsia="sv-SE"/>
          </w:rPr>
          <w:tab/>
        </w:r>
        <w:r w:rsidR="001853DE" w:rsidRPr="00B22698">
          <w:rPr>
            <w:rStyle w:val="Hyperlink"/>
            <w:noProof/>
          </w:rPr>
          <w:t>IAB-MT transmission in IAB-DU DL configured slots is supported.</w:t>
        </w:r>
      </w:hyperlink>
    </w:p>
    <w:p w14:paraId="59A8D21C" w14:textId="3330D4C1"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1" w:history="1">
        <w:r w:rsidRPr="00B22698">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sv-SE" w:eastAsia="sv-SE"/>
          </w:rPr>
          <w:tab/>
        </w:r>
        <w:r w:rsidRPr="00B22698">
          <w:rPr>
            <w:rStyle w:val="Hyperlink"/>
            <w:noProof/>
          </w:rPr>
          <w:t>Case-6 operation should be given the same principal support by specification as Case-1 or Case-7.</w:t>
        </w:r>
      </w:hyperlink>
    </w:p>
    <w:p w14:paraId="3C916080" w14:textId="179E79FF"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2" w:history="1">
        <w:r w:rsidRPr="00B22698">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sv-SE" w:eastAsia="sv-SE"/>
          </w:rPr>
          <w:tab/>
        </w:r>
        <w:r w:rsidRPr="00B22698">
          <w:rPr>
            <w:rStyle w:val="Hyperlink"/>
            <w:noProof/>
          </w:rPr>
          <w:t>Extend the valid T_delta,index range from (0,1…1199) to (0,1…2047).</w:t>
        </w:r>
      </w:hyperlink>
    </w:p>
    <w:p w14:paraId="302FF0A8" w14:textId="5CA0F21F"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3" w:history="1">
        <w:r w:rsidRPr="00B22698">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val="sv-SE" w:eastAsia="sv-SE"/>
          </w:rPr>
          <w:tab/>
        </w:r>
        <w:r w:rsidRPr="00B22698">
          <w:rPr>
            <w:rStyle w:val="Hyperlink"/>
            <w:noProof/>
          </w:rPr>
          <w:t>Extending the bit field of the T_delta MAC CE to 12 bits.</w:t>
        </w:r>
      </w:hyperlink>
    </w:p>
    <w:p w14:paraId="3A3034EC" w14:textId="24B55777"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4" w:history="1">
        <w:r w:rsidRPr="00B22698">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val="sv-SE" w:eastAsia="sv-SE"/>
          </w:rPr>
          <w:tab/>
        </w:r>
        <w:r w:rsidRPr="00B22698">
          <w:rPr>
            <w:rStyle w:val="Hyperlink"/>
            <w:noProof/>
          </w:rPr>
          <w:t>Support Alt 2, updating the Rel-16 OTA synchronization specification to allow maintaining Case 6 timing mode in an IAB-node.</w:t>
        </w:r>
      </w:hyperlink>
    </w:p>
    <w:p w14:paraId="666B1E0B" w14:textId="1ABDE069"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5" w:history="1">
        <w:r w:rsidRPr="00B22698">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val="sv-SE" w:eastAsia="sv-SE"/>
          </w:rPr>
          <w:tab/>
        </w:r>
        <w:r w:rsidRPr="00B22698">
          <w:rPr>
            <w:rStyle w:val="Hyperlink"/>
            <w:iCs/>
            <w:noProof/>
          </w:rPr>
          <w:t xml:space="preserve">Select Alt. 3: </w:t>
        </w:r>
        <w:r w:rsidRPr="00B22698">
          <w:rPr>
            <w:rStyle w:val="Hyperlink"/>
            <w:noProof/>
          </w:rPr>
          <w:t>For a parent IAB-node to initialize its UL Rx timing for receiving from an IAB-node operating in Case-6 timing, the IAB-node indicates to its parent node by how much it will change its UL Tx timing from its current timing to the target timing.</w:t>
        </w:r>
      </w:hyperlink>
    </w:p>
    <w:p w14:paraId="366C83CF" w14:textId="7C4AC2B4"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6" w:history="1">
        <w:r w:rsidRPr="00B22698">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b w:val="0"/>
            <w:noProof/>
            <w:sz w:val="22"/>
            <w:lang w:val="sv-SE" w:eastAsia="sv-SE"/>
          </w:rPr>
          <w:tab/>
        </w:r>
        <w:r w:rsidRPr="00B22698">
          <w:rPr>
            <w:rStyle w:val="Hyperlink"/>
            <w:noProof/>
          </w:rPr>
          <w:t>The explicit indication by the parent node when Case-6 timing is performed at the IAB-node should be acknowledged by the IAB-node.</w:t>
        </w:r>
      </w:hyperlink>
    </w:p>
    <w:p w14:paraId="7C0960AE" w14:textId="6D352F62"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7" w:history="1">
        <w:r w:rsidRPr="00B22698">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b w:val="0"/>
            <w:noProof/>
            <w:sz w:val="22"/>
            <w:lang w:val="sv-SE" w:eastAsia="sv-SE"/>
          </w:rPr>
          <w:tab/>
        </w:r>
        <w:r w:rsidRPr="00B22698">
          <w:rPr>
            <w:rStyle w:val="Hyperlink"/>
            <w:noProof/>
          </w:rPr>
          <w:t>The signaling of the parent node Rx timing initialization value for Case-6  by an IAB-node, after it received an explicit indication by the parent node to operate in Case-6, is treated as an acknowledgement.</w:t>
        </w:r>
      </w:hyperlink>
    </w:p>
    <w:p w14:paraId="0ECEF42A" w14:textId="2002F4B1"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8" w:history="1">
        <w:r w:rsidRPr="00B22698">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b w:val="0"/>
            <w:noProof/>
            <w:sz w:val="22"/>
            <w:lang w:val="sv-SE" w:eastAsia="sv-SE"/>
          </w:rPr>
          <w:tab/>
        </w:r>
        <w:r w:rsidRPr="00B22698">
          <w:rPr>
            <w:rStyle w:val="Hyperlink"/>
            <w:noProof/>
          </w:rPr>
          <w:t>The signaling of TA, propagation delay or timing offset by an IAB-node to the parent IAB-node is a request by the IAB-node to the parent IAB-node to operate in Case-6.</w:t>
        </w:r>
      </w:hyperlink>
    </w:p>
    <w:p w14:paraId="3479B9F6" w14:textId="28D9FB82"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19" w:history="1">
        <w:r w:rsidRPr="00B22698">
          <w:rPr>
            <w:rStyle w:val="Hyperlink"/>
            <w:noProof/>
          </w:rPr>
          <w:t>After performing Case-6 timing for some time, an IAB might need to switch from Case-6 to Case-1. We propose that the same mechanism is used for switching timing from Case-6 to Case-1 as we proposed for switching from Case-1 to Case-6. After that, the standard TA commands can be used for finetuning.</w:t>
        </w:r>
      </w:hyperlink>
    </w:p>
    <w:p w14:paraId="3CDFEFE1" w14:textId="05ED53DD"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0" w:history="1">
        <w:r w:rsidRPr="00B22698">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b w:val="0"/>
            <w:noProof/>
            <w:sz w:val="22"/>
            <w:lang w:val="sv-SE" w:eastAsia="sv-SE"/>
          </w:rPr>
          <w:tab/>
        </w:r>
        <w:r w:rsidRPr="00B22698">
          <w:rPr>
            <w:rStyle w:val="Hyperlink"/>
            <w:noProof/>
          </w:rPr>
          <w:t>For an IAB-node to initially set its UL Tx timing for transmissions after switching from a Case-6 operating to Case-1, the parent IAB-node indicates by how much it will change its UL Rx timing from its current timing to the target timing.</w:t>
        </w:r>
      </w:hyperlink>
    </w:p>
    <w:p w14:paraId="76025896" w14:textId="13D3B29C"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1" w:history="1">
        <w:r w:rsidRPr="00B22698">
          <w:rPr>
            <w:rStyle w:val="Hyperlink"/>
            <w:noProof/>
            <w14:scene3d>
              <w14:camera w14:prst="orthographicFront"/>
              <w14:lightRig w14:rig="threePt" w14:dir="t">
                <w14:rot w14:lat="0" w14:lon="0" w14:rev="0"/>
              </w14:lightRig>
            </w14:scene3d>
          </w:rPr>
          <w:t>Proposal 11</w:t>
        </w:r>
        <w:r>
          <w:rPr>
            <w:rFonts w:asciiTheme="minorHAnsi" w:eastAsiaTheme="minorEastAsia" w:hAnsiTheme="minorHAnsi"/>
            <w:b w:val="0"/>
            <w:noProof/>
            <w:sz w:val="22"/>
            <w:lang w:val="sv-SE" w:eastAsia="sv-SE"/>
          </w:rPr>
          <w:tab/>
        </w:r>
        <w:r w:rsidRPr="00B22698">
          <w:rPr>
            <w:rStyle w:val="Hyperlink"/>
            <w:noProof/>
          </w:rPr>
          <w:t>The Case-7 timing offset has the same format as T_delta. It is FFS the number of required bits.</w:t>
        </w:r>
      </w:hyperlink>
    </w:p>
    <w:p w14:paraId="530D6821" w14:textId="7A7ED837"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2" w:history="1">
        <w:r w:rsidRPr="00B22698">
          <w:rPr>
            <w:rStyle w:val="Hyperlink"/>
            <w:noProof/>
            <w:lang w:eastAsia="ja-JP"/>
            <w14:scene3d>
              <w14:camera w14:prst="orthographicFront"/>
              <w14:lightRig w14:rig="threePt" w14:dir="t">
                <w14:rot w14:lat="0" w14:lon="0" w14:rev="0"/>
              </w14:lightRig>
            </w14:scene3d>
          </w:rPr>
          <w:t>Proposal 12</w:t>
        </w:r>
        <w:r>
          <w:rPr>
            <w:rFonts w:asciiTheme="minorHAnsi" w:eastAsiaTheme="minorEastAsia" w:hAnsiTheme="minorHAnsi"/>
            <w:b w:val="0"/>
            <w:noProof/>
            <w:sz w:val="22"/>
            <w:lang w:val="sv-SE" w:eastAsia="sv-SE"/>
          </w:rPr>
          <w:tab/>
        </w:r>
        <w:r w:rsidRPr="00B22698">
          <w:rPr>
            <w:rStyle w:val="Hyperlink"/>
            <w:noProof/>
          </w:rPr>
          <w:t>Send LS to RAN4, asking RAN4 to specify the range of the Case-7 timing offset.</w:t>
        </w:r>
      </w:hyperlink>
    </w:p>
    <w:p w14:paraId="44609AB9" w14:textId="1567EB4E"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3" w:history="1">
        <w:r w:rsidRPr="00B22698">
          <w:rPr>
            <w:rStyle w:val="Hyperlink"/>
            <w:noProof/>
            <w14:scene3d>
              <w14:camera w14:prst="orthographicFront"/>
              <w14:lightRig w14:rig="threePt" w14:dir="t">
                <w14:rot w14:lat="0" w14:lon="0" w14:rev="0"/>
              </w14:lightRig>
            </w14:scene3d>
          </w:rPr>
          <w:t>Proposal 13</w:t>
        </w:r>
        <w:r>
          <w:rPr>
            <w:rFonts w:asciiTheme="minorHAnsi" w:eastAsiaTheme="minorEastAsia" w:hAnsiTheme="minorHAnsi"/>
            <w:b w:val="0"/>
            <w:noProof/>
            <w:sz w:val="22"/>
            <w:lang w:val="sv-SE" w:eastAsia="sv-SE"/>
          </w:rPr>
          <w:tab/>
        </w:r>
        <w:r w:rsidRPr="00B22698">
          <w:rPr>
            <w:rStyle w:val="Hyperlink"/>
            <w:noProof/>
          </w:rPr>
          <w:t>Provide slot-based multiplexing configuration (TDM or FDM) information to parent node for simultaneous operation.</w:t>
        </w:r>
      </w:hyperlink>
    </w:p>
    <w:p w14:paraId="491C71CA" w14:textId="6F6E649C"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4" w:history="1">
        <w:r w:rsidRPr="00B22698">
          <w:rPr>
            <w:rStyle w:val="Hyperlink"/>
            <w:noProof/>
            <w14:scene3d>
              <w14:camera w14:prst="orthographicFront"/>
              <w14:lightRig w14:rig="threePt" w14:dir="t">
                <w14:rot w14:lat="0" w14:lon="0" w14:rev="0"/>
              </w14:lightRig>
            </w14:scene3d>
          </w:rPr>
          <w:t>Proposal 14</w:t>
        </w:r>
        <w:r>
          <w:rPr>
            <w:rFonts w:asciiTheme="minorHAnsi" w:eastAsiaTheme="minorEastAsia" w:hAnsiTheme="minorHAnsi"/>
            <w:b w:val="0"/>
            <w:noProof/>
            <w:sz w:val="22"/>
            <w:lang w:val="sv-SE" w:eastAsia="sv-SE"/>
          </w:rPr>
          <w:tab/>
        </w:r>
        <w:r w:rsidRPr="00B22698">
          <w:rPr>
            <w:rStyle w:val="Hyperlink"/>
            <w:noProof/>
          </w:rPr>
          <w:t>Enhanced (UL and DL) power control is provided for symbols for which one or more of the following combinations of multiplexing mode, semi-static configuration, and dynamic indication applies:</w:t>
        </w:r>
      </w:hyperlink>
    </w:p>
    <w:p w14:paraId="63463044" w14:textId="7462A6EF"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5" w:history="1">
        <w:r w:rsidRPr="00B22698">
          <w:rPr>
            <w:rStyle w:val="Hyperlink"/>
            <w:noProof/>
          </w:rPr>
          <w:t>a.</w:t>
        </w:r>
        <w:r>
          <w:rPr>
            <w:rFonts w:asciiTheme="minorHAnsi" w:eastAsiaTheme="minorEastAsia" w:hAnsiTheme="minorHAnsi"/>
            <w:b w:val="0"/>
            <w:noProof/>
            <w:sz w:val="22"/>
            <w:lang w:val="sv-SE" w:eastAsia="sv-SE"/>
          </w:rPr>
          <w:tab/>
        </w:r>
        <w:r w:rsidRPr="00B22698">
          <w:rPr>
            <w:rStyle w:val="Hyperlink"/>
            <w:noProof/>
          </w:rPr>
          <w:t>FDM-H/NA</w:t>
        </w:r>
      </w:hyperlink>
    </w:p>
    <w:p w14:paraId="16B69166" w14:textId="4881FBEE"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6" w:history="1">
        <w:r w:rsidRPr="00B22698">
          <w:rPr>
            <w:rStyle w:val="Hyperlink"/>
            <w:noProof/>
          </w:rPr>
          <w:t>b.</w:t>
        </w:r>
        <w:r>
          <w:rPr>
            <w:rFonts w:asciiTheme="minorHAnsi" w:eastAsiaTheme="minorEastAsia" w:hAnsiTheme="minorHAnsi"/>
            <w:b w:val="0"/>
            <w:noProof/>
            <w:sz w:val="22"/>
            <w:lang w:val="sv-SE" w:eastAsia="sv-SE"/>
          </w:rPr>
          <w:tab/>
        </w:r>
        <w:r w:rsidRPr="00B22698">
          <w:rPr>
            <w:rStyle w:val="Hyperlink"/>
            <w:noProof/>
          </w:rPr>
          <w:t>FDM-H/S where at least one RB set is not IA</w:t>
        </w:r>
      </w:hyperlink>
    </w:p>
    <w:p w14:paraId="74F4B0B8" w14:textId="5A652EDB"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7" w:history="1">
        <w:r w:rsidRPr="00B22698">
          <w:rPr>
            <w:rStyle w:val="Hyperlink"/>
            <w:noProof/>
          </w:rPr>
          <w:t>c.</w:t>
        </w:r>
        <w:r>
          <w:rPr>
            <w:rFonts w:asciiTheme="minorHAnsi" w:eastAsiaTheme="minorEastAsia" w:hAnsiTheme="minorHAnsi"/>
            <w:b w:val="0"/>
            <w:noProof/>
            <w:sz w:val="22"/>
            <w:lang w:val="sv-SE" w:eastAsia="sv-SE"/>
          </w:rPr>
          <w:tab/>
        </w:r>
        <w:r w:rsidRPr="00B22698">
          <w:rPr>
            <w:rStyle w:val="Hyperlink"/>
            <w:noProof/>
          </w:rPr>
          <w:t>FDM-S/NA where at least one RB set is IA</w:t>
        </w:r>
      </w:hyperlink>
    </w:p>
    <w:p w14:paraId="6A2C8BA9" w14:textId="43A9D321"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8" w:history="1">
        <w:r w:rsidRPr="00B22698">
          <w:rPr>
            <w:rStyle w:val="Hyperlink"/>
            <w:noProof/>
            <w14:scene3d>
              <w14:camera w14:prst="orthographicFront"/>
              <w14:lightRig w14:rig="threePt" w14:dir="t">
                <w14:rot w14:lat="0" w14:lon="0" w14:rev="0"/>
              </w14:lightRig>
            </w14:scene3d>
          </w:rPr>
          <w:t>Proposal 15</w:t>
        </w:r>
        <w:r>
          <w:rPr>
            <w:rFonts w:asciiTheme="minorHAnsi" w:eastAsiaTheme="minorEastAsia" w:hAnsiTheme="minorHAnsi"/>
            <w:b w:val="0"/>
            <w:noProof/>
            <w:sz w:val="22"/>
            <w:lang w:val="sv-SE" w:eastAsia="sv-SE"/>
          </w:rPr>
          <w:tab/>
        </w:r>
        <w:r w:rsidRPr="00B22698">
          <w:rPr>
            <w:rStyle w:val="Hyperlink"/>
            <w:noProof/>
          </w:rPr>
          <w:t>A single indication can be used for requested DL TX power control for all combinations of MT’s DL beam and multiple MT’s CCs or DU cells.</w:t>
        </w:r>
      </w:hyperlink>
    </w:p>
    <w:p w14:paraId="49F6C64F" w14:textId="00875BDA"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29" w:history="1">
        <w:r w:rsidRPr="00B22698">
          <w:rPr>
            <w:rStyle w:val="Hyperlink"/>
            <w:noProof/>
            <w14:scene3d>
              <w14:camera w14:prst="orthographicFront"/>
              <w14:lightRig w14:rig="threePt" w14:dir="t">
                <w14:rot w14:lat="0" w14:lon="0" w14:rev="0"/>
              </w14:lightRig>
            </w14:scene3d>
          </w:rPr>
          <w:t>Proposal 16</w:t>
        </w:r>
        <w:r>
          <w:rPr>
            <w:rFonts w:asciiTheme="minorHAnsi" w:eastAsiaTheme="minorEastAsia" w:hAnsiTheme="minorHAnsi"/>
            <w:b w:val="0"/>
            <w:noProof/>
            <w:sz w:val="22"/>
            <w:lang w:val="sv-SE" w:eastAsia="sv-SE"/>
          </w:rPr>
          <w:tab/>
        </w:r>
        <w:r w:rsidRPr="00B22698">
          <w:rPr>
            <w:rStyle w:val="Hyperlink"/>
            <w:noProof/>
          </w:rPr>
          <w:t>A single indication can be used for responded DL TX power control for all combinations of MT’s DL beam and multiple MT’s CCs or DU cells.</w:t>
        </w:r>
      </w:hyperlink>
    </w:p>
    <w:p w14:paraId="1B229E77" w14:textId="71704F29"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0" w:history="1">
        <w:r w:rsidRPr="00B22698">
          <w:rPr>
            <w:rStyle w:val="Hyperlink"/>
            <w:noProof/>
          </w:rPr>
          <w:t>In addition to power control indication, a remaining item is what cell-specific signals in addition to SSB that are exempt from DL TX power control. In order to properly function, cell-specific signals cannot be exposed to power control since that would affect cell coverage. Hence, we propose that all cell-specific signals that are treated as Hard are also exempt from DL TX power control.</w:t>
        </w:r>
      </w:hyperlink>
    </w:p>
    <w:p w14:paraId="1A2605F0" w14:textId="3077DD48"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1" w:history="1">
        <w:r w:rsidRPr="00B22698">
          <w:rPr>
            <w:rStyle w:val="Hyperlink"/>
            <w:noProof/>
            <w14:scene3d>
              <w14:camera w14:prst="orthographicFront"/>
              <w14:lightRig w14:rig="threePt" w14:dir="t">
                <w14:rot w14:lat="0" w14:lon="0" w14:rev="0"/>
              </w14:lightRig>
            </w14:scene3d>
          </w:rPr>
          <w:t>Proposal 17</w:t>
        </w:r>
        <w:r>
          <w:rPr>
            <w:rFonts w:asciiTheme="minorHAnsi" w:eastAsiaTheme="minorEastAsia" w:hAnsiTheme="minorHAnsi"/>
            <w:b w:val="0"/>
            <w:noProof/>
            <w:sz w:val="22"/>
            <w:lang w:val="sv-SE" w:eastAsia="sv-SE"/>
          </w:rPr>
          <w:tab/>
        </w:r>
        <w:r w:rsidRPr="00B22698">
          <w:rPr>
            <w:rStyle w:val="Hyperlink"/>
            <w:noProof/>
          </w:rPr>
          <w:t>Cell-specific signals are exempt from DL TX power control.</w:t>
        </w:r>
      </w:hyperlink>
    </w:p>
    <w:p w14:paraId="3FBE7F56" w14:textId="6371CD9E"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2" w:history="1">
        <w:r w:rsidRPr="00B22698">
          <w:rPr>
            <w:rStyle w:val="Hyperlink"/>
            <w:noProof/>
            <w14:scene3d>
              <w14:camera w14:prst="orthographicFront"/>
              <w14:lightRig w14:rig="threePt" w14:dir="t">
                <w14:rot w14:lat="0" w14:lon="0" w14:rev="0"/>
              </w14:lightRig>
            </w14:scene3d>
          </w:rPr>
          <w:t>Proposal 18</w:t>
        </w:r>
        <w:r>
          <w:rPr>
            <w:rFonts w:asciiTheme="minorHAnsi" w:eastAsiaTheme="minorEastAsia" w:hAnsiTheme="minorHAnsi"/>
            <w:b w:val="0"/>
            <w:noProof/>
            <w:sz w:val="22"/>
            <w:lang w:val="sv-SE" w:eastAsia="sv-SE"/>
          </w:rPr>
          <w:tab/>
        </w:r>
        <w:r w:rsidRPr="00B22698">
          <w:rPr>
            <w:rStyle w:val="Hyperlink"/>
            <w:noProof/>
          </w:rPr>
          <w:t>DL TX power adjustment is applied to PDSCH and associated CSI-RS.</w:t>
        </w:r>
      </w:hyperlink>
    </w:p>
    <w:p w14:paraId="0A27D419" w14:textId="733F9171"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3" w:history="1">
        <w:r w:rsidRPr="00B22698">
          <w:rPr>
            <w:rStyle w:val="Hyperlink"/>
            <w:noProof/>
            <w14:scene3d>
              <w14:camera w14:prst="orthographicFront"/>
              <w14:lightRig w14:rig="threePt" w14:dir="t">
                <w14:rot w14:lat="0" w14:lon="0" w14:rev="0"/>
              </w14:lightRig>
            </w14:scene3d>
          </w:rPr>
          <w:t>Proposal 19</w:t>
        </w:r>
        <w:r>
          <w:rPr>
            <w:rFonts w:asciiTheme="minorHAnsi" w:eastAsiaTheme="minorEastAsia" w:hAnsiTheme="minorHAnsi"/>
            <w:b w:val="0"/>
            <w:noProof/>
            <w:sz w:val="22"/>
            <w:lang w:val="sv-SE" w:eastAsia="sv-SE"/>
          </w:rPr>
          <w:tab/>
        </w:r>
        <w:r w:rsidRPr="00B22698">
          <w:rPr>
            <w:rStyle w:val="Hyperlink"/>
            <w:noProof/>
          </w:rPr>
          <w:t>The IAB-DU DL TX power control range follows IAB-MT power control requirements of the IAB-node, i.e., 5 dB for wide area nodes and 10 dB for local area nodes, in increments of 1 dB, and is requested and acknowledged in relation to the CSI-RS of the TCI state.</w:t>
        </w:r>
      </w:hyperlink>
    </w:p>
    <w:p w14:paraId="35006BFE" w14:textId="00971917"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4" w:history="1">
        <w:r w:rsidRPr="00B22698">
          <w:rPr>
            <w:rStyle w:val="Hyperlink"/>
            <w:noProof/>
            <w14:scene3d>
              <w14:camera w14:prst="orthographicFront"/>
              <w14:lightRig w14:rig="threePt" w14:dir="t">
                <w14:rot w14:lat="0" w14:lon="0" w14:rev="0"/>
              </w14:lightRig>
            </w14:scene3d>
          </w:rPr>
          <w:t>Proposal 20</w:t>
        </w:r>
        <w:r>
          <w:rPr>
            <w:rFonts w:asciiTheme="minorHAnsi" w:eastAsiaTheme="minorEastAsia" w:hAnsiTheme="minorHAnsi"/>
            <w:b w:val="0"/>
            <w:noProof/>
            <w:sz w:val="22"/>
            <w:lang w:val="sv-SE" w:eastAsia="sv-SE"/>
          </w:rPr>
          <w:tab/>
        </w:r>
        <w:r w:rsidRPr="00B22698">
          <w:rPr>
            <w:rStyle w:val="Hyperlink"/>
            <w:noProof/>
          </w:rPr>
          <w:t>A single indication can be used for the desired UL PSD range for all combinations of MT’s UL beam and MT’s CCs or DU cells.</w:t>
        </w:r>
      </w:hyperlink>
    </w:p>
    <w:p w14:paraId="6C3BCFDB" w14:textId="018E6452"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5" w:history="1">
        <w:r w:rsidRPr="00B22698">
          <w:rPr>
            <w:rStyle w:val="Hyperlink"/>
            <w:noProof/>
            <w14:scene3d>
              <w14:camera w14:prst="orthographicFront"/>
              <w14:lightRig w14:rig="threePt" w14:dir="t">
                <w14:rot w14:lat="0" w14:lon="0" w14:rev="0"/>
              </w14:lightRig>
            </w14:scene3d>
          </w:rPr>
          <w:t>Proposal 21</w:t>
        </w:r>
        <w:r>
          <w:rPr>
            <w:rFonts w:asciiTheme="minorHAnsi" w:eastAsiaTheme="minorEastAsia" w:hAnsiTheme="minorHAnsi"/>
            <w:b w:val="0"/>
            <w:noProof/>
            <w:sz w:val="22"/>
            <w:lang w:val="sv-SE" w:eastAsia="sv-SE"/>
          </w:rPr>
          <w:tab/>
        </w:r>
        <w:r w:rsidRPr="00B22698">
          <w:rPr>
            <w:rStyle w:val="Hyperlink"/>
            <w:noProof/>
          </w:rPr>
          <w:t>Send LS to RAN4, asking RAN4 to specify the range of values for the indicated PSD range.</w:t>
        </w:r>
      </w:hyperlink>
    </w:p>
    <w:p w14:paraId="4DA1E391" w14:textId="1F7B96CE"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6" w:history="1">
        <w:r w:rsidRPr="00B22698">
          <w:rPr>
            <w:rStyle w:val="Hyperlink"/>
            <w:noProof/>
            <w14:scene3d>
              <w14:camera w14:prst="orthographicFront"/>
              <w14:lightRig w14:rig="threePt" w14:dir="t">
                <w14:rot w14:lat="0" w14:lon="0" w14:rev="0"/>
              </w14:lightRig>
            </w14:scene3d>
          </w:rPr>
          <w:t>Proposal 22</w:t>
        </w:r>
        <w:r>
          <w:rPr>
            <w:rFonts w:asciiTheme="minorHAnsi" w:eastAsiaTheme="minorEastAsia" w:hAnsiTheme="minorHAnsi"/>
            <w:b w:val="0"/>
            <w:noProof/>
            <w:sz w:val="22"/>
            <w:lang w:val="sv-SE" w:eastAsia="sv-SE"/>
          </w:rPr>
          <w:tab/>
        </w:r>
        <w:r w:rsidRPr="00B22698">
          <w:rPr>
            <w:rStyle w:val="Hyperlink"/>
            <w:noProof/>
          </w:rPr>
          <w:t>If the desired PSD range is not met, the IAB node is expected to fall back to its TDM configuration.</w:t>
        </w:r>
      </w:hyperlink>
    </w:p>
    <w:p w14:paraId="56A417CD" w14:textId="566A44AA" w:rsidR="001853DE" w:rsidRDefault="001853DE" w:rsidP="001853DE">
      <w:pPr>
        <w:pStyle w:val="TableofFigures"/>
        <w:tabs>
          <w:tab w:val="right" w:leader="dot" w:pos="9629"/>
        </w:tabs>
        <w:jc w:val="both"/>
        <w:rPr>
          <w:rFonts w:asciiTheme="minorHAnsi" w:eastAsiaTheme="minorEastAsia" w:hAnsiTheme="minorHAnsi"/>
          <w:b w:val="0"/>
          <w:noProof/>
          <w:sz w:val="22"/>
          <w:lang w:val="sv-SE" w:eastAsia="sv-SE"/>
        </w:rPr>
      </w:pPr>
      <w:hyperlink w:anchor="_Toc87042537" w:history="1">
        <w:r w:rsidRPr="00B22698">
          <w:rPr>
            <w:rStyle w:val="Hyperlink"/>
            <w:noProof/>
            <w14:scene3d>
              <w14:camera w14:prst="orthographicFront"/>
              <w14:lightRig w14:rig="threePt" w14:dir="t">
                <w14:rot w14:lat="0" w14:lon="0" w14:rev="0"/>
              </w14:lightRig>
            </w14:scene3d>
          </w:rPr>
          <w:t>Proposal 23</w:t>
        </w:r>
        <w:r>
          <w:rPr>
            <w:rFonts w:asciiTheme="minorHAnsi" w:eastAsiaTheme="minorEastAsia" w:hAnsiTheme="minorHAnsi"/>
            <w:b w:val="0"/>
            <w:noProof/>
            <w:sz w:val="22"/>
            <w:lang w:val="sv-SE" w:eastAsia="sv-SE"/>
          </w:rPr>
          <w:tab/>
        </w:r>
        <w:r w:rsidRPr="00B22698">
          <w:rPr>
            <w:rStyle w:val="Hyperlink"/>
            <w:noProof/>
          </w:rPr>
          <w:t>Discussions on whether to support new triggering conditions to send an updated PHR is down prioritized in RAN1 meeting #107.</w:t>
        </w:r>
      </w:hyperlink>
    </w:p>
    <w:p w14:paraId="747C743C" w14:textId="7032036A" w:rsidR="006E1C82" w:rsidRPr="001E7AD0" w:rsidRDefault="006E1C82" w:rsidP="001853DE">
      <w:pPr>
        <w:pStyle w:val="BodyText"/>
        <w:rPr>
          <w:b/>
          <w:bCs/>
        </w:rPr>
      </w:pPr>
      <w:r w:rsidRPr="001E7AD0">
        <w:rPr>
          <w:b/>
        </w:rPr>
        <w:fldChar w:fldCharType="end"/>
      </w:r>
    </w:p>
    <w:p w14:paraId="71D79D99" w14:textId="77777777" w:rsidR="00F507D1" w:rsidRPr="001E7AD0" w:rsidRDefault="00F507D1" w:rsidP="00FF09B0">
      <w:pPr>
        <w:pStyle w:val="Heading1"/>
        <w:jc w:val="both"/>
        <w:rPr>
          <w:lang w:val="en-US"/>
        </w:rPr>
      </w:pPr>
      <w:bookmarkStart w:id="100" w:name="_In-sequence_SDU_delivery"/>
      <w:bookmarkEnd w:id="100"/>
      <w:r w:rsidRPr="001E7AD0">
        <w:rPr>
          <w:lang w:val="en-US"/>
        </w:rPr>
        <w:t>References</w:t>
      </w:r>
    </w:p>
    <w:p w14:paraId="4BC58E35" w14:textId="77777777" w:rsidR="00C60B65" w:rsidRPr="001E7AD0" w:rsidRDefault="00C60B65" w:rsidP="00FF09B0">
      <w:pPr>
        <w:pStyle w:val="Reference"/>
      </w:pPr>
      <w:bookmarkStart w:id="101" w:name="_Ref77157032"/>
      <w:bookmarkStart w:id="102" w:name="_Ref174151459"/>
      <w:bookmarkStart w:id="103" w:name="_Ref189809556"/>
      <w:r w:rsidRPr="001E7AD0">
        <w:t>RP-211548, “New WID on Enhancements to Integrated Access and Backhaul,” Qualcomm, RAN #92e, June 2021.</w:t>
      </w:r>
      <w:bookmarkEnd w:id="101"/>
    </w:p>
    <w:p w14:paraId="74ED6D87" w14:textId="4ACD915B" w:rsidR="00C60B65" w:rsidRPr="001E7AD0" w:rsidRDefault="0073723A" w:rsidP="00FF09B0">
      <w:pPr>
        <w:pStyle w:val="Reference"/>
      </w:pPr>
      <w:bookmarkStart w:id="104" w:name="_Ref77157282"/>
      <w:r w:rsidRPr="001E7AD0">
        <w:lastRenderedPageBreak/>
        <w:t>R1-211</w:t>
      </w:r>
      <w:r w:rsidR="003D3FB7" w:rsidRPr="001E7AD0">
        <w:t>2356</w:t>
      </w:r>
      <w:r w:rsidR="00C60B65" w:rsidRPr="001E7AD0">
        <w:t>, “Resource multiplexing and dual connectivity in enhanced IAB,” Ericsson, RAN1 #106-</w:t>
      </w:r>
      <w:r w:rsidRPr="001E7AD0">
        <w:t>bis</w:t>
      </w:r>
      <w:r w:rsidR="00C60B65" w:rsidRPr="001E7AD0">
        <w:t xml:space="preserve">-e, </w:t>
      </w:r>
      <w:r w:rsidRPr="001E7AD0">
        <w:t>October</w:t>
      </w:r>
      <w:r w:rsidR="00C60B65" w:rsidRPr="001E7AD0">
        <w:t xml:space="preserve"> 2021.</w:t>
      </w:r>
      <w:bookmarkEnd w:id="104"/>
    </w:p>
    <w:p w14:paraId="7F7AA31B" w14:textId="67E7D7E0" w:rsidR="002B24E8" w:rsidRPr="001E7AD0" w:rsidRDefault="00065C2E" w:rsidP="00FF09B0">
      <w:pPr>
        <w:pStyle w:val="Reference"/>
      </w:pPr>
      <w:bookmarkStart w:id="105" w:name="_Ref83978650"/>
      <w:r w:rsidRPr="001E7AD0">
        <w:t>“RAN1 Chairman’s Notes”, 3GPP, RAN1 #103-e, October 2020</w:t>
      </w:r>
      <w:r w:rsidR="002B24E8" w:rsidRPr="001E7AD0">
        <w:rPr>
          <w:rFonts w:cs="Arial"/>
        </w:rPr>
        <w:t>.</w:t>
      </w:r>
      <w:bookmarkEnd w:id="105"/>
    </w:p>
    <w:p w14:paraId="538FD1EC" w14:textId="3D14956A" w:rsidR="00C60B65" w:rsidRPr="001E7AD0" w:rsidRDefault="00065C2E" w:rsidP="00FF09B0">
      <w:pPr>
        <w:pStyle w:val="Reference"/>
      </w:pPr>
      <w:bookmarkStart w:id="106" w:name="_Ref77157742"/>
      <w:r w:rsidRPr="001E7AD0">
        <w:t>“RAN1 Chair’s Notes”, 3GPP, RAN1 #106bis-e, October 2021</w:t>
      </w:r>
      <w:r w:rsidR="00C60B65" w:rsidRPr="001E7AD0">
        <w:t>.</w:t>
      </w:r>
      <w:bookmarkEnd w:id="106"/>
    </w:p>
    <w:p w14:paraId="4F752A91" w14:textId="59AAC3B8" w:rsidR="00C60B65" w:rsidRPr="001E7AD0" w:rsidRDefault="00D26CF0" w:rsidP="00FF09B0">
      <w:pPr>
        <w:pStyle w:val="Reference"/>
      </w:pPr>
      <w:bookmarkStart w:id="107" w:name="_Ref77166368"/>
      <w:r w:rsidRPr="001E7AD0">
        <w:t>TS 38.211, “Physical channels and modulation”, 3GPP, V16.7.0, September 2021</w:t>
      </w:r>
      <w:r w:rsidR="00C60B65" w:rsidRPr="001E7AD0">
        <w:t>.</w:t>
      </w:r>
      <w:bookmarkEnd w:id="107"/>
    </w:p>
    <w:p w14:paraId="5CEEE2BA" w14:textId="08EB8023" w:rsidR="00C60B65" w:rsidRPr="001E7AD0" w:rsidRDefault="00C60B65" w:rsidP="00FF09B0">
      <w:pPr>
        <w:pStyle w:val="Reference"/>
      </w:pPr>
      <w:bookmarkStart w:id="108" w:name="_Ref79015175"/>
      <w:r w:rsidRPr="001E7AD0">
        <w:t>TS 38.174, “Integrated Access and Backhaul radio transmission and reception,” 3GPP, V.16.</w:t>
      </w:r>
      <w:r w:rsidR="00D26CF0" w:rsidRPr="001E7AD0">
        <w:t>4</w:t>
      </w:r>
      <w:r w:rsidRPr="001E7AD0">
        <w:t xml:space="preserve">.0, </w:t>
      </w:r>
      <w:r w:rsidR="00D26CF0" w:rsidRPr="001E7AD0">
        <w:t>September</w:t>
      </w:r>
      <w:r w:rsidRPr="001E7AD0">
        <w:t xml:space="preserve"> 2021.</w:t>
      </w:r>
      <w:bookmarkEnd w:id="108"/>
    </w:p>
    <w:p w14:paraId="537CE28B" w14:textId="72A1B5A8" w:rsidR="00C60B65" w:rsidRPr="001E7AD0" w:rsidRDefault="00C60B65" w:rsidP="00FF09B0">
      <w:pPr>
        <w:pStyle w:val="Reference"/>
      </w:pPr>
      <w:bookmarkStart w:id="109" w:name="_Ref79153754"/>
      <w:r w:rsidRPr="001E7AD0">
        <w:t>TS 38.213, “NR; Physical layer procedures for control,” 3GPP, V.16.</w:t>
      </w:r>
      <w:r w:rsidR="007B19CE" w:rsidRPr="001E7AD0">
        <w:t>7</w:t>
      </w:r>
      <w:r w:rsidRPr="001E7AD0">
        <w:t xml:space="preserve">.0, </w:t>
      </w:r>
      <w:r w:rsidR="007B19CE" w:rsidRPr="001E7AD0">
        <w:t>September</w:t>
      </w:r>
      <w:r w:rsidRPr="001E7AD0">
        <w:t xml:space="preserve"> 2021.</w:t>
      </w:r>
      <w:bookmarkEnd w:id="109"/>
    </w:p>
    <w:p w14:paraId="790BDAB0" w14:textId="77777777" w:rsidR="00C60B65" w:rsidRPr="001E7AD0" w:rsidRDefault="00C60B65" w:rsidP="00FF09B0">
      <w:pPr>
        <w:pStyle w:val="Reference"/>
      </w:pPr>
      <w:bookmarkStart w:id="110" w:name="_Ref79015341"/>
      <w:r w:rsidRPr="001E7AD0">
        <w:rPr>
          <w:szCs w:val="20"/>
        </w:rPr>
        <w:t>R1-2101696, “</w:t>
      </w:r>
      <w:r w:rsidRPr="001E7AD0">
        <w:t>Timing, CLI and power control in enhanced IAB”, Ericsson, RAN1 #104-e, January 2021.</w:t>
      </w:r>
      <w:bookmarkEnd w:id="110"/>
    </w:p>
    <w:p w14:paraId="56D19D3A" w14:textId="004ED207" w:rsidR="00C60B65" w:rsidRPr="001E7AD0" w:rsidRDefault="003B69D0" w:rsidP="00FF09B0">
      <w:pPr>
        <w:pStyle w:val="Reference"/>
      </w:pPr>
      <w:bookmarkStart w:id="111" w:name="_Ref79015443"/>
      <w:r w:rsidRPr="001E7AD0">
        <w:rPr>
          <w:szCs w:val="20"/>
        </w:rPr>
        <w:t>R1-2110515, “Final summary [106bis-e-NR-eIAB-02] on other enhancements for simultaneous operation of IAB-node’s child and parent links”, Qualcomm, RAN1 #106bis-e, October 2021</w:t>
      </w:r>
      <w:r w:rsidR="00C60B65" w:rsidRPr="001E7AD0">
        <w:t>.</w:t>
      </w:r>
      <w:bookmarkEnd w:id="111"/>
    </w:p>
    <w:p w14:paraId="4289ADAF" w14:textId="77777777" w:rsidR="00C60B65" w:rsidRPr="001E7AD0" w:rsidRDefault="00C60B65" w:rsidP="00FF09B0">
      <w:pPr>
        <w:pStyle w:val="Reference"/>
      </w:pPr>
      <w:bookmarkStart w:id="112" w:name="_Ref79141709"/>
      <w:bookmarkStart w:id="113" w:name="_Ref83991730"/>
      <w:r w:rsidRPr="001E7AD0">
        <w:t xml:space="preserve">R1-1911807, “Reply LS on </w:t>
      </w:r>
      <w:proofErr w:type="spellStart"/>
      <w:r w:rsidRPr="001E7AD0">
        <w:t>T_delta</w:t>
      </w:r>
      <w:proofErr w:type="spellEnd"/>
      <w:r w:rsidRPr="001E7AD0">
        <w:t xml:space="preserve"> for IAB OTA timing alignment”, RAN4, RAN1 #99, November 2019</w:t>
      </w:r>
      <w:bookmarkEnd w:id="112"/>
      <w:r w:rsidRPr="001E7AD0">
        <w:t>.</w:t>
      </w:r>
      <w:bookmarkEnd w:id="113"/>
    </w:p>
    <w:p w14:paraId="36D8F6D4" w14:textId="337C708C" w:rsidR="00C60B65" w:rsidRPr="001E7AD0" w:rsidRDefault="00C60B65" w:rsidP="00FF09B0">
      <w:pPr>
        <w:pStyle w:val="Reference"/>
      </w:pPr>
      <w:bookmarkStart w:id="114" w:name="_Ref79142183"/>
      <w:bookmarkStart w:id="115" w:name="_Ref83991798"/>
      <w:r w:rsidRPr="001E7AD0">
        <w:t>TS 38.321, “Medium Access Control (MAC) protocol specification”, 3GPP, V16.</w:t>
      </w:r>
      <w:r w:rsidR="007B19CE" w:rsidRPr="001E7AD0">
        <w:t>6</w:t>
      </w:r>
      <w:r w:rsidRPr="001E7AD0">
        <w:t xml:space="preserve">.0, </w:t>
      </w:r>
      <w:r w:rsidR="007B19CE" w:rsidRPr="001E7AD0">
        <w:t>September</w:t>
      </w:r>
      <w:r w:rsidRPr="001E7AD0">
        <w:t xml:space="preserve"> 2021</w:t>
      </w:r>
      <w:bookmarkEnd w:id="114"/>
      <w:r w:rsidRPr="001E7AD0">
        <w:t>.</w:t>
      </w:r>
      <w:bookmarkEnd w:id="115"/>
    </w:p>
    <w:p w14:paraId="715CA09B" w14:textId="02F2AF34" w:rsidR="003A7EF3" w:rsidRPr="001E7AD0" w:rsidRDefault="00C60B65" w:rsidP="00FF09B0">
      <w:pPr>
        <w:pStyle w:val="Reference"/>
      </w:pPr>
      <w:bookmarkStart w:id="116" w:name="_Ref79142665"/>
      <w:bookmarkStart w:id="117" w:name="_Ref83991889"/>
      <w:r w:rsidRPr="001E7AD0">
        <w:t>R1-2105839, “Timing, interference management and power control in enhanced IAB”, Ericsson, RAN1 #105e, May 2021</w:t>
      </w:r>
      <w:bookmarkEnd w:id="116"/>
      <w:r w:rsidRPr="001E7AD0">
        <w:t>.</w:t>
      </w:r>
      <w:bookmarkEnd w:id="117"/>
      <w:bookmarkEnd w:id="102"/>
      <w:bookmarkEnd w:id="103"/>
    </w:p>
    <w:p w14:paraId="3337FCE9" w14:textId="670702F7" w:rsidR="00701741" w:rsidRPr="001E7AD0" w:rsidRDefault="00474624" w:rsidP="00FF09B0">
      <w:pPr>
        <w:pStyle w:val="Reference"/>
      </w:pPr>
      <w:bookmarkStart w:id="118" w:name="_Ref87009311"/>
      <w:r w:rsidRPr="001E7AD0">
        <w:t>TS 38.401, “Architecture description”, 3GPP, V16.7.0, October 2021</w:t>
      </w:r>
      <w:bookmarkEnd w:id="118"/>
    </w:p>
    <w:sectPr w:rsidR="00701741" w:rsidRPr="001E7AD0"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85A88" w14:textId="77777777" w:rsidR="001E7AD0" w:rsidRDefault="001E7AD0">
      <w:r>
        <w:separator/>
      </w:r>
    </w:p>
  </w:endnote>
  <w:endnote w:type="continuationSeparator" w:id="0">
    <w:p w14:paraId="3FE6CED0" w14:textId="77777777" w:rsidR="001E7AD0" w:rsidRDefault="001E7AD0">
      <w:r>
        <w:continuationSeparator/>
      </w:r>
    </w:p>
  </w:endnote>
  <w:endnote w:type="continuationNotice" w:id="1">
    <w:p w14:paraId="4939982A" w14:textId="77777777" w:rsidR="001E7AD0" w:rsidRDefault="001E7A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431BC" w14:textId="77777777" w:rsidR="001E7AD0" w:rsidRDefault="001E7AD0">
      <w:r>
        <w:separator/>
      </w:r>
    </w:p>
  </w:footnote>
  <w:footnote w:type="continuationSeparator" w:id="0">
    <w:p w14:paraId="3E8E34CD" w14:textId="77777777" w:rsidR="001E7AD0" w:rsidRDefault="001E7AD0">
      <w:r>
        <w:continuationSeparator/>
      </w:r>
    </w:p>
  </w:footnote>
  <w:footnote w:type="continuationNotice" w:id="1">
    <w:p w14:paraId="56B7F757" w14:textId="77777777" w:rsidR="001E7AD0" w:rsidRDefault="001E7A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4C0F0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CE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DE0B87"/>
    <w:multiLevelType w:val="hybridMultilevel"/>
    <w:tmpl w:val="ECFE7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7A4112"/>
    <w:multiLevelType w:val="hybridMultilevel"/>
    <w:tmpl w:val="207CBDA4"/>
    <w:lvl w:ilvl="0" w:tplc="F05A4C60">
      <w:start w:val="1"/>
      <w:numFmt w:val="bullet"/>
      <w:lvlText w:val="•"/>
      <w:lvlJc w:val="left"/>
      <w:pPr>
        <w:tabs>
          <w:tab w:val="num" w:pos="720"/>
        </w:tabs>
        <w:ind w:left="720" w:hanging="360"/>
      </w:pPr>
      <w:rPr>
        <w:rFonts w:ascii="Arial" w:hAnsi="Arial" w:cs="Times New Roman" w:hint="default"/>
      </w:rPr>
    </w:lvl>
    <w:lvl w:ilvl="1" w:tplc="51E8B316">
      <w:start w:val="1"/>
      <w:numFmt w:val="bullet"/>
      <w:lvlText w:val="•"/>
      <w:lvlJc w:val="left"/>
      <w:pPr>
        <w:tabs>
          <w:tab w:val="num" w:pos="1440"/>
        </w:tabs>
        <w:ind w:left="1440" w:hanging="360"/>
      </w:pPr>
      <w:rPr>
        <w:rFonts w:ascii="Arial" w:hAnsi="Arial" w:cs="Times New Roman" w:hint="default"/>
      </w:rPr>
    </w:lvl>
    <w:lvl w:ilvl="2" w:tplc="FFEE03AC">
      <w:start w:val="1"/>
      <w:numFmt w:val="bullet"/>
      <w:lvlText w:val="•"/>
      <w:lvlJc w:val="left"/>
      <w:pPr>
        <w:tabs>
          <w:tab w:val="num" w:pos="2160"/>
        </w:tabs>
        <w:ind w:left="2160" w:hanging="360"/>
      </w:pPr>
      <w:rPr>
        <w:rFonts w:ascii="Arial" w:hAnsi="Arial" w:cs="Times New Roman" w:hint="default"/>
      </w:rPr>
    </w:lvl>
    <w:lvl w:ilvl="3" w:tplc="2FAE817E">
      <w:start w:val="1"/>
      <w:numFmt w:val="bullet"/>
      <w:lvlText w:val="•"/>
      <w:lvlJc w:val="left"/>
      <w:pPr>
        <w:tabs>
          <w:tab w:val="num" w:pos="2880"/>
        </w:tabs>
        <w:ind w:left="2880" w:hanging="360"/>
      </w:pPr>
      <w:rPr>
        <w:rFonts w:ascii="Arial" w:hAnsi="Arial" w:cs="Times New Roman" w:hint="default"/>
      </w:rPr>
    </w:lvl>
    <w:lvl w:ilvl="4" w:tplc="22B27900">
      <w:start w:val="1"/>
      <w:numFmt w:val="bullet"/>
      <w:lvlText w:val="•"/>
      <w:lvlJc w:val="left"/>
      <w:pPr>
        <w:tabs>
          <w:tab w:val="num" w:pos="3600"/>
        </w:tabs>
        <w:ind w:left="3600" w:hanging="360"/>
      </w:pPr>
      <w:rPr>
        <w:rFonts w:ascii="Arial" w:hAnsi="Arial" w:cs="Times New Roman" w:hint="default"/>
      </w:rPr>
    </w:lvl>
    <w:lvl w:ilvl="5" w:tplc="84E01530">
      <w:start w:val="1"/>
      <w:numFmt w:val="bullet"/>
      <w:lvlText w:val="•"/>
      <w:lvlJc w:val="left"/>
      <w:pPr>
        <w:tabs>
          <w:tab w:val="num" w:pos="4320"/>
        </w:tabs>
        <w:ind w:left="4320" w:hanging="360"/>
      </w:pPr>
      <w:rPr>
        <w:rFonts w:ascii="Arial" w:hAnsi="Arial" w:cs="Times New Roman" w:hint="default"/>
      </w:rPr>
    </w:lvl>
    <w:lvl w:ilvl="6" w:tplc="467EA1DE">
      <w:start w:val="1"/>
      <w:numFmt w:val="bullet"/>
      <w:lvlText w:val="•"/>
      <w:lvlJc w:val="left"/>
      <w:pPr>
        <w:tabs>
          <w:tab w:val="num" w:pos="5040"/>
        </w:tabs>
        <w:ind w:left="5040" w:hanging="360"/>
      </w:pPr>
      <w:rPr>
        <w:rFonts w:ascii="Arial" w:hAnsi="Arial" w:cs="Times New Roman" w:hint="default"/>
      </w:rPr>
    </w:lvl>
    <w:lvl w:ilvl="7" w:tplc="54FA6C54">
      <w:start w:val="1"/>
      <w:numFmt w:val="bullet"/>
      <w:lvlText w:val="•"/>
      <w:lvlJc w:val="left"/>
      <w:pPr>
        <w:tabs>
          <w:tab w:val="num" w:pos="5760"/>
        </w:tabs>
        <w:ind w:left="5760" w:hanging="360"/>
      </w:pPr>
      <w:rPr>
        <w:rFonts w:ascii="Arial" w:hAnsi="Arial" w:cs="Times New Roman" w:hint="default"/>
      </w:rPr>
    </w:lvl>
    <w:lvl w:ilvl="8" w:tplc="5CF458E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98C6248"/>
    <w:multiLevelType w:val="hybridMultilevel"/>
    <w:tmpl w:val="7FA44330"/>
    <w:lvl w:ilvl="0" w:tplc="0764FBF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7B326B"/>
    <w:multiLevelType w:val="hybridMultilevel"/>
    <w:tmpl w:val="E40089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D16F6D"/>
    <w:multiLevelType w:val="hybridMultilevel"/>
    <w:tmpl w:val="FD02CE46"/>
    <w:lvl w:ilvl="0" w:tplc="F8F2F8CA">
      <w:start w:val="1"/>
      <w:numFmt w:val="bullet"/>
      <w:lvlText w:val="•"/>
      <w:lvlJc w:val="left"/>
      <w:pPr>
        <w:tabs>
          <w:tab w:val="num" w:pos="360"/>
        </w:tabs>
        <w:ind w:left="360" w:hanging="360"/>
      </w:pPr>
      <w:rPr>
        <w:rFonts w:ascii="Arial" w:hAnsi="Arial" w:cs="Times New Roman" w:hint="default"/>
      </w:rPr>
    </w:lvl>
    <w:lvl w:ilvl="1" w:tplc="23D626F2">
      <w:start w:val="1"/>
      <w:numFmt w:val="bullet"/>
      <w:lvlText w:val="•"/>
      <w:lvlJc w:val="left"/>
      <w:pPr>
        <w:tabs>
          <w:tab w:val="num" w:pos="1080"/>
        </w:tabs>
        <w:ind w:left="1080" w:hanging="360"/>
      </w:pPr>
      <w:rPr>
        <w:rFonts w:ascii="Arial" w:hAnsi="Arial" w:cs="Times New Roman" w:hint="default"/>
      </w:rPr>
    </w:lvl>
    <w:lvl w:ilvl="2" w:tplc="9462121C">
      <w:numFmt w:val="bullet"/>
      <w:lvlText w:val="•"/>
      <w:lvlJc w:val="left"/>
      <w:pPr>
        <w:tabs>
          <w:tab w:val="num" w:pos="1800"/>
        </w:tabs>
        <w:ind w:left="1800" w:hanging="360"/>
      </w:pPr>
      <w:rPr>
        <w:rFonts w:ascii="Arial" w:hAnsi="Arial" w:cs="Times New Roman" w:hint="default"/>
      </w:rPr>
    </w:lvl>
    <w:lvl w:ilvl="3" w:tplc="082269D4">
      <w:start w:val="1"/>
      <w:numFmt w:val="bullet"/>
      <w:lvlText w:val="•"/>
      <w:lvlJc w:val="left"/>
      <w:pPr>
        <w:tabs>
          <w:tab w:val="num" w:pos="2520"/>
        </w:tabs>
        <w:ind w:left="2520" w:hanging="360"/>
      </w:pPr>
      <w:rPr>
        <w:rFonts w:ascii="Arial" w:hAnsi="Arial" w:cs="Times New Roman" w:hint="default"/>
      </w:rPr>
    </w:lvl>
    <w:lvl w:ilvl="4" w:tplc="4642DD32">
      <w:start w:val="1"/>
      <w:numFmt w:val="bullet"/>
      <w:lvlText w:val="•"/>
      <w:lvlJc w:val="left"/>
      <w:pPr>
        <w:tabs>
          <w:tab w:val="num" w:pos="3240"/>
        </w:tabs>
        <w:ind w:left="3240" w:hanging="360"/>
      </w:pPr>
      <w:rPr>
        <w:rFonts w:ascii="Arial" w:hAnsi="Arial" w:cs="Times New Roman" w:hint="default"/>
      </w:rPr>
    </w:lvl>
    <w:lvl w:ilvl="5" w:tplc="716801A2">
      <w:start w:val="1"/>
      <w:numFmt w:val="bullet"/>
      <w:lvlText w:val="•"/>
      <w:lvlJc w:val="left"/>
      <w:pPr>
        <w:tabs>
          <w:tab w:val="num" w:pos="3960"/>
        </w:tabs>
        <w:ind w:left="3960" w:hanging="360"/>
      </w:pPr>
      <w:rPr>
        <w:rFonts w:ascii="Arial" w:hAnsi="Arial" w:cs="Times New Roman" w:hint="default"/>
      </w:rPr>
    </w:lvl>
    <w:lvl w:ilvl="6" w:tplc="20E65EF0">
      <w:start w:val="1"/>
      <w:numFmt w:val="bullet"/>
      <w:lvlText w:val="•"/>
      <w:lvlJc w:val="left"/>
      <w:pPr>
        <w:tabs>
          <w:tab w:val="num" w:pos="4680"/>
        </w:tabs>
        <w:ind w:left="4680" w:hanging="360"/>
      </w:pPr>
      <w:rPr>
        <w:rFonts w:ascii="Arial" w:hAnsi="Arial" w:cs="Times New Roman" w:hint="default"/>
      </w:rPr>
    </w:lvl>
    <w:lvl w:ilvl="7" w:tplc="A69095AC">
      <w:start w:val="1"/>
      <w:numFmt w:val="bullet"/>
      <w:lvlText w:val="•"/>
      <w:lvlJc w:val="left"/>
      <w:pPr>
        <w:tabs>
          <w:tab w:val="num" w:pos="5400"/>
        </w:tabs>
        <w:ind w:left="5400" w:hanging="360"/>
      </w:pPr>
      <w:rPr>
        <w:rFonts w:ascii="Arial" w:hAnsi="Arial" w:cs="Times New Roman" w:hint="default"/>
      </w:rPr>
    </w:lvl>
    <w:lvl w:ilvl="8" w:tplc="71DA5976">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0E7B8C"/>
    <w:multiLevelType w:val="hybridMultilevel"/>
    <w:tmpl w:val="54D0335E"/>
    <w:lvl w:ilvl="0" w:tplc="C8AAC9D4">
      <w:start w:val="3"/>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5972BF"/>
    <w:multiLevelType w:val="hybridMultilevel"/>
    <w:tmpl w:val="9B5EEB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6F0FCB"/>
    <w:multiLevelType w:val="hybridMultilevel"/>
    <w:tmpl w:val="359AE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AA465E2"/>
    <w:multiLevelType w:val="hybridMultilevel"/>
    <w:tmpl w:val="D5269254"/>
    <w:lvl w:ilvl="0" w:tplc="6E263920">
      <w:start w:val="16"/>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8C298B"/>
    <w:multiLevelType w:val="multilevel"/>
    <w:tmpl w:val="468C298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958B1"/>
    <w:multiLevelType w:val="hybridMultilevel"/>
    <w:tmpl w:val="65BA2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2C2B72"/>
    <w:multiLevelType w:val="hybridMultilevel"/>
    <w:tmpl w:val="CDAAA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A46533"/>
    <w:multiLevelType w:val="hybridMultilevel"/>
    <w:tmpl w:val="B96279E8"/>
    <w:lvl w:ilvl="0" w:tplc="0764FBF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99C4FB8"/>
    <w:multiLevelType w:val="hybridMultilevel"/>
    <w:tmpl w:val="2BA4B7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E96B60"/>
    <w:multiLevelType w:val="hybridMultilevel"/>
    <w:tmpl w:val="9606E7EA"/>
    <w:lvl w:ilvl="0" w:tplc="549AF048">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D8C55AF"/>
    <w:multiLevelType w:val="hybridMultilevel"/>
    <w:tmpl w:val="AFF49A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2F760D"/>
    <w:multiLevelType w:val="hybridMultilevel"/>
    <w:tmpl w:val="503EB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52191F"/>
    <w:multiLevelType w:val="hybridMultilevel"/>
    <w:tmpl w:val="D39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A62A5C"/>
    <w:multiLevelType w:val="hybridMultilevel"/>
    <w:tmpl w:val="7846B1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2"/>
  </w:num>
  <w:num w:numId="4">
    <w:abstractNumId w:val="23"/>
  </w:num>
  <w:num w:numId="5">
    <w:abstractNumId w:val="15"/>
  </w:num>
  <w:num w:numId="6">
    <w:abstractNumId w:val="25"/>
  </w:num>
  <w:num w:numId="7">
    <w:abstractNumId w:val="33"/>
  </w:num>
  <w:num w:numId="8">
    <w:abstractNumId w:val="16"/>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4"/>
  </w:num>
  <w:num w:numId="17">
    <w:abstractNumId w:val="10"/>
  </w:num>
  <w:num w:numId="18">
    <w:abstractNumId w:val="12"/>
  </w:num>
  <w:num w:numId="19">
    <w:abstractNumId w:val="8"/>
  </w:num>
  <w:num w:numId="20">
    <w:abstractNumId w:val="40"/>
  </w:num>
  <w:num w:numId="21">
    <w:abstractNumId w:val="17"/>
  </w:num>
  <w:num w:numId="22">
    <w:abstractNumId w:val="38"/>
  </w:num>
  <w:num w:numId="23">
    <w:abstractNumId w:val="2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1"/>
  </w:num>
  <w:num w:numId="29">
    <w:abstractNumId w:val="19"/>
  </w:num>
  <w:num w:numId="30">
    <w:abstractNumId w:val="6"/>
  </w:num>
  <w:num w:numId="31">
    <w:abstractNumId w:val="42"/>
  </w:num>
  <w:num w:numId="32">
    <w:abstractNumId w:val="30"/>
  </w:num>
  <w:num w:numId="33">
    <w:abstractNumId w:val="7"/>
  </w:num>
  <w:num w:numId="34">
    <w:abstractNumId w:val="32"/>
  </w:num>
  <w:num w:numId="35">
    <w:abstractNumId w:val="41"/>
  </w:num>
  <w:num w:numId="36">
    <w:abstractNumId w:val="3"/>
  </w:num>
  <w:num w:numId="37">
    <w:abstractNumId w:val="37"/>
  </w:num>
  <w:num w:numId="38">
    <w:abstractNumId w:val="43"/>
  </w:num>
  <w:num w:numId="39">
    <w:abstractNumId w:val="9"/>
  </w:num>
  <w:num w:numId="40">
    <w:abstractNumId w:val="39"/>
  </w:num>
  <w:num w:numId="41">
    <w:abstractNumId w:val="35"/>
  </w:num>
  <w:num w:numId="42">
    <w:abstractNumId w:val="5"/>
  </w:num>
  <w:num w:numId="43">
    <w:abstractNumId w:val="3"/>
  </w:num>
  <w:num w:numId="44">
    <w:abstractNumId w:val="36"/>
  </w:num>
  <w:num w:numId="45">
    <w:abstractNumId w:val="26"/>
  </w:num>
  <w:num w:numId="46">
    <w:abstractNumId w:val="13"/>
  </w:num>
  <w:num w:numId="47">
    <w:abstractNumId w:val="18"/>
  </w:num>
  <w:num w:numId="4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9C"/>
    <w:rsid w:val="000006E1"/>
    <w:rsid w:val="00000794"/>
    <w:rsid w:val="000025F3"/>
    <w:rsid w:val="000027FF"/>
    <w:rsid w:val="00002A37"/>
    <w:rsid w:val="00002AC8"/>
    <w:rsid w:val="00003D92"/>
    <w:rsid w:val="0000401D"/>
    <w:rsid w:val="0000412A"/>
    <w:rsid w:val="0000564C"/>
    <w:rsid w:val="00006446"/>
    <w:rsid w:val="00006571"/>
    <w:rsid w:val="00006896"/>
    <w:rsid w:val="000075A8"/>
    <w:rsid w:val="00007CDC"/>
    <w:rsid w:val="000106D5"/>
    <w:rsid w:val="00010806"/>
    <w:rsid w:val="00010C75"/>
    <w:rsid w:val="00011B28"/>
    <w:rsid w:val="000121ED"/>
    <w:rsid w:val="00012325"/>
    <w:rsid w:val="00013AD0"/>
    <w:rsid w:val="00015424"/>
    <w:rsid w:val="00015D15"/>
    <w:rsid w:val="00016414"/>
    <w:rsid w:val="000168D8"/>
    <w:rsid w:val="00017E09"/>
    <w:rsid w:val="00022008"/>
    <w:rsid w:val="0002357D"/>
    <w:rsid w:val="0002363C"/>
    <w:rsid w:val="000242AF"/>
    <w:rsid w:val="00024B50"/>
    <w:rsid w:val="0002564D"/>
    <w:rsid w:val="00025ECA"/>
    <w:rsid w:val="00026C90"/>
    <w:rsid w:val="000277BD"/>
    <w:rsid w:val="000306CB"/>
    <w:rsid w:val="000311FE"/>
    <w:rsid w:val="00031550"/>
    <w:rsid w:val="000325B8"/>
    <w:rsid w:val="000337AC"/>
    <w:rsid w:val="0003444C"/>
    <w:rsid w:val="00034AC7"/>
    <w:rsid w:val="00034C15"/>
    <w:rsid w:val="00034D97"/>
    <w:rsid w:val="000361B2"/>
    <w:rsid w:val="00036BA1"/>
    <w:rsid w:val="000405E1"/>
    <w:rsid w:val="00040E5A"/>
    <w:rsid w:val="000422E2"/>
    <w:rsid w:val="00042F22"/>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C58"/>
    <w:rsid w:val="0005606A"/>
    <w:rsid w:val="00056A50"/>
    <w:rsid w:val="00056FC9"/>
    <w:rsid w:val="00057117"/>
    <w:rsid w:val="00057129"/>
    <w:rsid w:val="00057531"/>
    <w:rsid w:val="000604B0"/>
    <w:rsid w:val="00060870"/>
    <w:rsid w:val="000616E7"/>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557"/>
    <w:rsid w:val="0009230F"/>
    <w:rsid w:val="000924C1"/>
    <w:rsid w:val="000924F0"/>
    <w:rsid w:val="00092720"/>
    <w:rsid w:val="00092C37"/>
    <w:rsid w:val="00093474"/>
    <w:rsid w:val="00093BAD"/>
    <w:rsid w:val="000940A2"/>
    <w:rsid w:val="00094AF8"/>
    <w:rsid w:val="00094F22"/>
    <w:rsid w:val="0009510F"/>
    <w:rsid w:val="00095361"/>
    <w:rsid w:val="000953DC"/>
    <w:rsid w:val="00095A5A"/>
    <w:rsid w:val="000960AF"/>
    <w:rsid w:val="00096B9F"/>
    <w:rsid w:val="00097D84"/>
    <w:rsid w:val="000A003E"/>
    <w:rsid w:val="000A080E"/>
    <w:rsid w:val="000A1248"/>
    <w:rsid w:val="000A1B7B"/>
    <w:rsid w:val="000A215C"/>
    <w:rsid w:val="000A2AC4"/>
    <w:rsid w:val="000A4039"/>
    <w:rsid w:val="000A4785"/>
    <w:rsid w:val="000A48C8"/>
    <w:rsid w:val="000A549A"/>
    <w:rsid w:val="000A56F2"/>
    <w:rsid w:val="000A5752"/>
    <w:rsid w:val="000A57F1"/>
    <w:rsid w:val="000A5BAE"/>
    <w:rsid w:val="000A6377"/>
    <w:rsid w:val="000A6953"/>
    <w:rsid w:val="000B0A6F"/>
    <w:rsid w:val="000B0DA3"/>
    <w:rsid w:val="000B0F55"/>
    <w:rsid w:val="000B145F"/>
    <w:rsid w:val="000B266F"/>
    <w:rsid w:val="000B2719"/>
    <w:rsid w:val="000B3A8F"/>
    <w:rsid w:val="000B3B8E"/>
    <w:rsid w:val="000B4409"/>
    <w:rsid w:val="000B4AB9"/>
    <w:rsid w:val="000B51B2"/>
    <w:rsid w:val="000B51C5"/>
    <w:rsid w:val="000B58C3"/>
    <w:rsid w:val="000B61E9"/>
    <w:rsid w:val="000C0AB1"/>
    <w:rsid w:val="000C0B2E"/>
    <w:rsid w:val="000C152F"/>
    <w:rsid w:val="000C165A"/>
    <w:rsid w:val="000C1AE3"/>
    <w:rsid w:val="000C2E19"/>
    <w:rsid w:val="000C3307"/>
    <w:rsid w:val="000C4F15"/>
    <w:rsid w:val="000C6F69"/>
    <w:rsid w:val="000C7858"/>
    <w:rsid w:val="000D0D07"/>
    <w:rsid w:val="000D1DD6"/>
    <w:rsid w:val="000D2EDC"/>
    <w:rsid w:val="000D3138"/>
    <w:rsid w:val="000D35BA"/>
    <w:rsid w:val="000D4797"/>
    <w:rsid w:val="000D615A"/>
    <w:rsid w:val="000D67BF"/>
    <w:rsid w:val="000D7B02"/>
    <w:rsid w:val="000E0527"/>
    <w:rsid w:val="000E0574"/>
    <w:rsid w:val="000E1357"/>
    <w:rsid w:val="000E1420"/>
    <w:rsid w:val="000E1E92"/>
    <w:rsid w:val="000E212F"/>
    <w:rsid w:val="000E2CE7"/>
    <w:rsid w:val="000E4EA2"/>
    <w:rsid w:val="000E6817"/>
    <w:rsid w:val="000E76AB"/>
    <w:rsid w:val="000F06D6"/>
    <w:rsid w:val="000F0EB1"/>
    <w:rsid w:val="000F1106"/>
    <w:rsid w:val="000F2136"/>
    <w:rsid w:val="000F2F30"/>
    <w:rsid w:val="000F2FEE"/>
    <w:rsid w:val="000F31C2"/>
    <w:rsid w:val="000F3BE9"/>
    <w:rsid w:val="000F3F6C"/>
    <w:rsid w:val="000F481A"/>
    <w:rsid w:val="000F505D"/>
    <w:rsid w:val="000F50C8"/>
    <w:rsid w:val="000F6000"/>
    <w:rsid w:val="000F6173"/>
    <w:rsid w:val="000F664D"/>
    <w:rsid w:val="000F6DF3"/>
    <w:rsid w:val="000F73D3"/>
    <w:rsid w:val="001005FF"/>
    <w:rsid w:val="0010139C"/>
    <w:rsid w:val="00101867"/>
    <w:rsid w:val="0010186F"/>
    <w:rsid w:val="001022C6"/>
    <w:rsid w:val="00102EE8"/>
    <w:rsid w:val="001031E7"/>
    <w:rsid w:val="001033FE"/>
    <w:rsid w:val="00104732"/>
    <w:rsid w:val="0010494D"/>
    <w:rsid w:val="001062FB"/>
    <w:rsid w:val="001063E6"/>
    <w:rsid w:val="00106411"/>
    <w:rsid w:val="0010646D"/>
    <w:rsid w:val="001066CD"/>
    <w:rsid w:val="00112156"/>
    <w:rsid w:val="00113CF4"/>
    <w:rsid w:val="00114422"/>
    <w:rsid w:val="001144F1"/>
    <w:rsid w:val="001153EA"/>
    <w:rsid w:val="00115643"/>
    <w:rsid w:val="00116751"/>
    <w:rsid w:val="00116765"/>
    <w:rsid w:val="001178B6"/>
    <w:rsid w:val="001219F5"/>
    <w:rsid w:val="00121A20"/>
    <w:rsid w:val="00121CC7"/>
    <w:rsid w:val="00122E31"/>
    <w:rsid w:val="0012377F"/>
    <w:rsid w:val="00123821"/>
    <w:rsid w:val="00123A79"/>
    <w:rsid w:val="00123D48"/>
    <w:rsid w:val="00124314"/>
    <w:rsid w:val="0012434F"/>
    <w:rsid w:val="00124BAC"/>
    <w:rsid w:val="00124CD6"/>
    <w:rsid w:val="001256DD"/>
    <w:rsid w:val="00125E5C"/>
    <w:rsid w:val="00126B4A"/>
    <w:rsid w:val="0013036A"/>
    <w:rsid w:val="001305D3"/>
    <w:rsid w:val="00130A59"/>
    <w:rsid w:val="00130D26"/>
    <w:rsid w:val="001319D8"/>
    <w:rsid w:val="00131AAB"/>
    <w:rsid w:val="00131FA7"/>
    <w:rsid w:val="00132FD0"/>
    <w:rsid w:val="00133BCA"/>
    <w:rsid w:val="001344C0"/>
    <w:rsid w:val="001344D5"/>
    <w:rsid w:val="001346FA"/>
    <w:rsid w:val="00135252"/>
    <w:rsid w:val="00135C2B"/>
    <w:rsid w:val="00136414"/>
    <w:rsid w:val="00136964"/>
    <w:rsid w:val="001376E5"/>
    <w:rsid w:val="00137AB5"/>
    <w:rsid w:val="00137F0B"/>
    <w:rsid w:val="00137F12"/>
    <w:rsid w:val="0014059A"/>
    <w:rsid w:val="00141BE3"/>
    <w:rsid w:val="00146179"/>
    <w:rsid w:val="001463D8"/>
    <w:rsid w:val="0014662D"/>
    <w:rsid w:val="00146A53"/>
    <w:rsid w:val="00146BBD"/>
    <w:rsid w:val="001501AC"/>
    <w:rsid w:val="0015085C"/>
    <w:rsid w:val="00150F6E"/>
    <w:rsid w:val="001513F1"/>
    <w:rsid w:val="001519B6"/>
    <w:rsid w:val="00151E23"/>
    <w:rsid w:val="001526E0"/>
    <w:rsid w:val="0015325C"/>
    <w:rsid w:val="00153DBE"/>
    <w:rsid w:val="00153E1E"/>
    <w:rsid w:val="001543D3"/>
    <w:rsid w:val="00154A26"/>
    <w:rsid w:val="001551B5"/>
    <w:rsid w:val="001560C0"/>
    <w:rsid w:val="00156A8F"/>
    <w:rsid w:val="00160ADE"/>
    <w:rsid w:val="001617E3"/>
    <w:rsid w:val="00161C5B"/>
    <w:rsid w:val="00163227"/>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A"/>
    <w:rsid w:val="00181FF8"/>
    <w:rsid w:val="00184BE5"/>
    <w:rsid w:val="001853DE"/>
    <w:rsid w:val="0018568D"/>
    <w:rsid w:val="00186006"/>
    <w:rsid w:val="001863D4"/>
    <w:rsid w:val="00186AEF"/>
    <w:rsid w:val="001872D7"/>
    <w:rsid w:val="00190AC1"/>
    <w:rsid w:val="00190D3D"/>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1415"/>
    <w:rsid w:val="001A14BC"/>
    <w:rsid w:val="001A1987"/>
    <w:rsid w:val="001A1B45"/>
    <w:rsid w:val="001A1CD6"/>
    <w:rsid w:val="001A2564"/>
    <w:rsid w:val="001A4BA6"/>
    <w:rsid w:val="001A575B"/>
    <w:rsid w:val="001A6173"/>
    <w:rsid w:val="001A68BD"/>
    <w:rsid w:val="001A697C"/>
    <w:rsid w:val="001A6CBA"/>
    <w:rsid w:val="001B0838"/>
    <w:rsid w:val="001B090E"/>
    <w:rsid w:val="001B0D97"/>
    <w:rsid w:val="001B1BC8"/>
    <w:rsid w:val="001B2BD2"/>
    <w:rsid w:val="001B3535"/>
    <w:rsid w:val="001B4E77"/>
    <w:rsid w:val="001B54FA"/>
    <w:rsid w:val="001B5A5D"/>
    <w:rsid w:val="001B642D"/>
    <w:rsid w:val="001B6FC0"/>
    <w:rsid w:val="001B7593"/>
    <w:rsid w:val="001C09A0"/>
    <w:rsid w:val="001C1C81"/>
    <w:rsid w:val="001C1CE5"/>
    <w:rsid w:val="001C349F"/>
    <w:rsid w:val="001C3B81"/>
    <w:rsid w:val="001C3D2A"/>
    <w:rsid w:val="001C5892"/>
    <w:rsid w:val="001C6E6A"/>
    <w:rsid w:val="001C7333"/>
    <w:rsid w:val="001C7545"/>
    <w:rsid w:val="001C7732"/>
    <w:rsid w:val="001C7AB8"/>
    <w:rsid w:val="001D00E0"/>
    <w:rsid w:val="001D308E"/>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942"/>
    <w:rsid w:val="001E2CB1"/>
    <w:rsid w:val="001E3DBF"/>
    <w:rsid w:val="001E57D5"/>
    <w:rsid w:val="001E58E2"/>
    <w:rsid w:val="001E5B62"/>
    <w:rsid w:val="001E5B96"/>
    <w:rsid w:val="001E6206"/>
    <w:rsid w:val="001E74EE"/>
    <w:rsid w:val="001E7AD0"/>
    <w:rsid w:val="001E7AED"/>
    <w:rsid w:val="001E7BD7"/>
    <w:rsid w:val="001F029E"/>
    <w:rsid w:val="001F1171"/>
    <w:rsid w:val="001F1536"/>
    <w:rsid w:val="001F38F8"/>
    <w:rsid w:val="001F3916"/>
    <w:rsid w:val="001F3CCF"/>
    <w:rsid w:val="001F54C5"/>
    <w:rsid w:val="001F5984"/>
    <w:rsid w:val="001F5D02"/>
    <w:rsid w:val="001F662C"/>
    <w:rsid w:val="001F6F16"/>
    <w:rsid w:val="001F7074"/>
    <w:rsid w:val="00200490"/>
    <w:rsid w:val="002019DE"/>
    <w:rsid w:val="00201F3A"/>
    <w:rsid w:val="002031D1"/>
    <w:rsid w:val="0020322A"/>
    <w:rsid w:val="0020392C"/>
    <w:rsid w:val="00203E47"/>
    <w:rsid w:val="00203F96"/>
    <w:rsid w:val="0020441F"/>
    <w:rsid w:val="002069B2"/>
    <w:rsid w:val="0020780C"/>
    <w:rsid w:val="00207FA3"/>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15C6"/>
    <w:rsid w:val="0022171E"/>
    <w:rsid w:val="00222251"/>
    <w:rsid w:val="002224DB"/>
    <w:rsid w:val="00223625"/>
    <w:rsid w:val="00223877"/>
    <w:rsid w:val="00223F56"/>
    <w:rsid w:val="00223FCB"/>
    <w:rsid w:val="0022472F"/>
    <w:rsid w:val="002252C3"/>
    <w:rsid w:val="00225C54"/>
    <w:rsid w:val="00225CD8"/>
    <w:rsid w:val="00225DF8"/>
    <w:rsid w:val="00226CCE"/>
    <w:rsid w:val="00230765"/>
    <w:rsid w:val="00230D18"/>
    <w:rsid w:val="00231096"/>
    <w:rsid w:val="00231362"/>
    <w:rsid w:val="002319E4"/>
    <w:rsid w:val="0023259B"/>
    <w:rsid w:val="00232883"/>
    <w:rsid w:val="002329DB"/>
    <w:rsid w:val="002341DC"/>
    <w:rsid w:val="002344F9"/>
    <w:rsid w:val="00235632"/>
    <w:rsid w:val="00235872"/>
    <w:rsid w:val="00236F90"/>
    <w:rsid w:val="00237DF1"/>
    <w:rsid w:val="00240576"/>
    <w:rsid w:val="002411C1"/>
    <w:rsid w:val="00241559"/>
    <w:rsid w:val="00241B12"/>
    <w:rsid w:val="00242854"/>
    <w:rsid w:val="002435B3"/>
    <w:rsid w:val="002441DA"/>
    <w:rsid w:val="002441EF"/>
    <w:rsid w:val="00245227"/>
    <w:rsid w:val="002457A2"/>
    <w:rsid w:val="002458EB"/>
    <w:rsid w:val="00246A0B"/>
    <w:rsid w:val="00246E63"/>
    <w:rsid w:val="00247B9C"/>
    <w:rsid w:val="002500C8"/>
    <w:rsid w:val="00250194"/>
    <w:rsid w:val="00250244"/>
    <w:rsid w:val="00252452"/>
    <w:rsid w:val="00257512"/>
    <w:rsid w:val="00257543"/>
    <w:rsid w:val="00257EA0"/>
    <w:rsid w:val="00260458"/>
    <w:rsid w:val="00260ED0"/>
    <w:rsid w:val="002614DB"/>
    <w:rsid w:val="002617E7"/>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FC8"/>
    <w:rsid w:val="00285CED"/>
    <w:rsid w:val="002860F0"/>
    <w:rsid w:val="00286810"/>
    <w:rsid w:val="00286ACD"/>
    <w:rsid w:val="002875E2"/>
    <w:rsid w:val="00287838"/>
    <w:rsid w:val="00287884"/>
    <w:rsid w:val="002907B5"/>
    <w:rsid w:val="002911CD"/>
    <w:rsid w:val="0029120E"/>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6B83"/>
    <w:rsid w:val="002A7A94"/>
    <w:rsid w:val="002B056E"/>
    <w:rsid w:val="002B0FFF"/>
    <w:rsid w:val="002B1E62"/>
    <w:rsid w:val="002B239F"/>
    <w:rsid w:val="002B24D6"/>
    <w:rsid w:val="002B24E8"/>
    <w:rsid w:val="002B2DE9"/>
    <w:rsid w:val="002B365B"/>
    <w:rsid w:val="002B4BFB"/>
    <w:rsid w:val="002B5EE0"/>
    <w:rsid w:val="002B5F8F"/>
    <w:rsid w:val="002B655C"/>
    <w:rsid w:val="002B7DC9"/>
    <w:rsid w:val="002C0261"/>
    <w:rsid w:val="002C0575"/>
    <w:rsid w:val="002C162E"/>
    <w:rsid w:val="002C18AC"/>
    <w:rsid w:val="002C2E43"/>
    <w:rsid w:val="002C2EDF"/>
    <w:rsid w:val="002C2FF4"/>
    <w:rsid w:val="002C41E6"/>
    <w:rsid w:val="002C5726"/>
    <w:rsid w:val="002C5BD9"/>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4C7"/>
    <w:rsid w:val="002F0E85"/>
    <w:rsid w:val="002F1232"/>
    <w:rsid w:val="002F13E4"/>
    <w:rsid w:val="002F1625"/>
    <w:rsid w:val="002F2771"/>
    <w:rsid w:val="002F2D13"/>
    <w:rsid w:val="002F2DE6"/>
    <w:rsid w:val="002F37A9"/>
    <w:rsid w:val="002F3BEA"/>
    <w:rsid w:val="002F5E66"/>
    <w:rsid w:val="002F6BAF"/>
    <w:rsid w:val="002F7183"/>
    <w:rsid w:val="002F78AE"/>
    <w:rsid w:val="002F7D14"/>
    <w:rsid w:val="002F7DC4"/>
    <w:rsid w:val="00300596"/>
    <w:rsid w:val="00300B26"/>
    <w:rsid w:val="00301CE6"/>
    <w:rsid w:val="00302122"/>
    <w:rsid w:val="00302438"/>
    <w:rsid w:val="0030249D"/>
    <w:rsid w:val="0030256B"/>
    <w:rsid w:val="0030405A"/>
    <w:rsid w:val="0030501F"/>
    <w:rsid w:val="0030595D"/>
    <w:rsid w:val="003060C2"/>
    <w:rsid w:val="0030773F"/>
    <w:rsid w:val="00307BA1"/>
    <w:rsid w:val="00310D7C"/>
    <w:rsid w:val="00311608"/>
    <w:rsid w:val="00311702"/>
    <w:rsid w:val="00311E82"/>
    <w:rsid w:val="00311F7E"/>
    <w:rsid w:val="0031216F"/>
    <w:rsid w:val="00312379"/>
    <w:rsid w:val="00312C57"/>
    <w:rsid w:val="00313FD6"/>
    <w:rsid w:val="0031419D"/>
    <w:rsid w:val="003143A9"/>
    <w:rsid w:val="003143BD"/>
    <w:rsid w:val="00314711"/>
    <w:rsid w:val="003147C0"/>
    <w:rsid w:val="00315363"/>
    <w:rsid w:val="0031550F"/>
    <w:rsid w:val="00316F52"/>
    <w:rsid w:val="00317AEF"/>
    <w:rsid w:val="003203ED"/>
    <w:rsid w:val="00320861"/>
    <w:rsid w:val="003214DE"/>
    <w:rsid w:val="00322C9F"/>
    <w:rsid w:val="00322CDB"/>
    <w:rsid w:val="0032359C"/>
    <w:rsid w:val="00323AE1"/>
    <w:rsid w:val="00324D23"/>
    <w:rsid w:val="00326336"/>
    <w:rsid w:val="00327BD7"/>
    <w:rsid w:val="00330A3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40043"/>
    <w:rsid w:val="00342BD7"/>
    <w:rsid w:val="00342FCD"/>
    <w:rsid w:val="0034362E"/>
    <w:rsid w:val="003439C6"/>
    <w:rsid w:val="003444E8"/>
    <w:rsid w:val="00344645"/>
    <w:rsid w:val="00344A95"/>
    <w:rsid w:val="00345B9B"/>
    <w:rsid w:val="00345BBC"/>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70362"/>
    <w:rsid w:val="003705AF"/>
    <w:rsid w:val="00370E47"/>
    <w:rsid w:val="0037124A"/>
    <w:rsid w:val="00371B3F"/>
    <w:rsid w:val="00371E8A"/>
    <w:rsid w:val="00372214"/>
    <w:rsid w:val="0037267B"/>
    <w:rsid w:val="00372751"/>
    <w:rsid w:val="0037292E"/>
    <w:rsid w:val="00372BAA"/>
    <w:rsid w:val="00373106"/>
    <w:rsid w:val="0037359F"/>
    <w:rsid w:val="00373951"/>
    <w:rsid w:val="00373986"/>
    <w:rsid w:val="00373CA1"/>
    <w:rsid w:val="003742AC"/>
    <w:rsid w:val="00374821"/>
    <w:rsid w:val="00375739"/>
    <w:rsid w:val="00376BFE"/>
    <w:rsid w:val="00377CE1"/>
    <w:rsid w:val="00382967"/>
    <w:rsid w:val="00382B53"/>
    <w:rsid w:val="0038587E"/>
    <w:rsid w:val="00385BF0"/>
    <w:rsid w:val="00386B96"/>
    <w:rsid w:val="00390FF2"/>
    <w:rsid w:val="00392490"/>
    <w:rsid w:val="0039280B"/>
    <w:rsid w:val="00392EDA"/>
    <w:rsid w:val="0039305B"/>
    <w:rsid w:val="0039355F"/>
    <w:rsid w:val="0039362A"/>
    <w:rsid w:val="003939FF"/>
    <w:rsid w:val="00394987"/>
    <w:rsid w:val="00396B0C"/>
    <w:rsid w:val="00396B84"/>
    <w:rsid w:val="00397826"/>
    <w:rsid w:val="003A062B"/>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F6"/>
    <w:rsid w:val="003C05F7"/>
    <w:rsid w:val="003C11C8"/>
    <w:rsid w:val="003C2702"/>
    <w:rsid w:val="003C28D7"/>
    <w:rsid w:val="003C4301"/>
    <w:rsid w:val="003C455A"/>
    <w:rsid w:val="003C4C3F"/>
    <w:rsid w:val="003C75A9"/>
    <w:rsid w:val="003C7806"/>
    <w:rsid w:val="003D0065"/>
    <w:rsid w:val="003D0DF0"/>
    <w:rsid w:val="003D109F"/>
    <w:rsid w:val="003D2478"/>
    <w:rsid w:val="003D3810"/>
    <w:rsid w:val="003D3C45"/>
    <w:rsid w:val="003D3FB7"/>
    <w:rsid w:val="003D479F"/>
    <w:rsid w:val="003D51B2"/>
    <w:rsid w:val="003D54BC"/>
    <w:rsid w:val="003D5B1F"/>
    <w:rsid w:val="003D6BD3"/>
    <w:rsid w:val="003D7BC4"/>
    <w:rsid w:val="003D7EAA"/>
    <w:rsid w:val="003E03D3"/>
    <w:rsid w:val="003E0678"/>
    <w:rsid w:val="003E0C2E"/>
    <w:rsid w:val="003E15FA"/>
    <w:rsid w:val="003E1C02"/>
    <w:rsid w:val="003E1EF2"/>
    <w:rsid w:val="003E204A"/>
    <w:rsid w:val="003E3ECF"/>
    <w:rsid w:val="003E55E4"/>
    <w:rsid w:val="003E6979"/>
    <w:rsid w:val="003E6DEB"/>
    <w:rsid w:val="003E74E3"/>
    <w:rsid w:val="003F0130"/>
    <w:rsid w:val="003F05C7"/>
    <w:rsid w:val="003F071B"/>
    <w:rsid w:val="003F0781"/>
    <w:rsid w:val="003F07FB"/>
    <w:rsid w:val="003F2CD4"/>
    <w:rsid w:val="003F3602"/>
    <w:rsid w:val="003F3E24"/>
    <w:rsid w:val="003F4E22"/>
    <w:rsid w:val="003F5797"/>
    <w:rsid w:val="003F6AF9"/>
    <w:rsid w:val="003F6BBE"/>
    <w:rsid w:val="004000E8"/>
    <w:rsid w:val="004005A7"/>
    <w:rsid w:val="00400A7A"/>
    <w:rsid w:val="00401078"/>
    <w:rsid w:val="004010E8"/>
    <w:rsid w:val="0040149B"/>
    <w:rsid w:val="00402E2B"/>
    <w:rsid w:val="004038CD"/>
    <w:rsid w:val="00403A55"/>
    <w:rsid w:val="00404510"/>
    <w:rsid w:val="0040512B"/>
    <w:rsid w:val="0040535F"/>
    <w:rsid w:val="00405CA5"/>
    <w:rsid w:val="00406510"/>
    <w:rsid w:val="0040789E"/>
    <w:rsid w:val="00407CD3"/>
    <w:rsid w:val="00410134"/>
    <w:rsid w:val="00410135"/>
    <w:rsid w:val="00410AB5"/>
    <w:rsid w:val="00410B72"/>
    <w:rsid w:val="00410F18"/>
    <w:rsid w:val="0041179C"/>
    <w:rsid w:val="00412056"/>
    <w:rsid w:val="00412600"/>
    <w:rsid w:val="0041263E"/>
    <w:rsid w:val="00412BAC"/>
    <w:rsid w:val="00413545"/>
    <w:rsid w:val="004136A1"/>
    <w:rsid w:val="00413AAC"/>
    <w:rsid w:val="00413E92"/>
    <w:rsid w:val="00414B6B"/>
    <w:rsid w:val="00414FB7"/>
    <w:rsid w:val="00415260"/>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531F"/>
    <w:rsid w:val="00435AFE"/>
    <w:rsid w:val="00437447"/>
    <w:rsid w:val="00437A2D"/>
    <w:rsid w:val="00437B51"/>
    <w:rsid w:val="00440294"/>
    <w:rsid w:val="00441849"/>
    <w:rsid w:val="00441A92"/>
    <w:rsid w:val="00442AA6"/>
    <w:rsid w:val="004431DC"/>
    <w:rsid w:val="004434B5"/>
    <w:rsid w:val="004439D8"/>
    <w:rsid w:val="00443C69"/>
    <w:rsid w:val="00444586"/>
    <w:rsid w:val="00444D61"/>
    <w:rsid w:val="00444F56"/>
    <w:rsid w:val="0044640E"/>
    <w:rsid w:val="00446488"/>
    <w:rsid w:val="00447429"/>
    <w:rsid w:val="00447D54"/>
    <w:rsid w:val="00447F55"/>
    <w:rsid w:val="00447FA5"/>
    <w:rsid w:val="004500CF"/>
    <w:rsid w:val="0045130A"/>
    <w:rsid w:val="004517AA"/>
    <w:rsid w:val="00451A76"/>
    <w:rsid w:val="00452C0C"/>
    <w:rsid w:val="00452CAC"/>
    <w:rsid w:val="00452E31"/>
    <w:rsid w:val="0045484B"/>
    <w:rsid w:val="00454CCC"/>
    <w:rsid w:val="0045539B"/>
    <w:rsid w:val="0045554E"/>
    <w:rsid w:val="004568AF"/>
    <w:rsid w:val="00456E51"/>
    <w:rsid w:val="00456F51"/>
    <w:rsid w:val="004573FC"/>
    <w:rsid w:val="00457565"/>
    <w:rsid w:val="00457B71"/>
    <w:rsid w:val="004602DA"/>
    <w:rsid w:val="00460CE0"/>
    <w:rsid w:val="00461FB3"/>
    <w:rsid w:val="004627D4"/>
    <w:rsid w:val="00464689"/>
    <w:rsid w:val="00464DF1"/>
    <w:rsid w:val="004669E2"/>
    <w:rsid w:val="00467303"/>
    <w:rsid w:val="004673AB"/>
    <w:rsid w:val="00467C2D"/>
    <w:rsid w:val="004704CF"/>
    <w:rsid w:val="00470C27"/>
    <w:rsid w:val="00470C31"/>
    <w:rsid w:val="00471C06"/>
    <w:rsid w:val="00471DE0"/>
    <w:rsid w:val="0047206C"/>
    <w:rsid w:val="00472A01"/>
    <w:rsid w:val="004734D0"/>
    <w:rsid w:val="00473DE8"/>
    <w:rsid w:val="00474289"/>
    <w:rsid w:val="00474624"/>
    <w:rsid w:val="0047556B"/>
    <w:rsid w:val="00475CAD"/>
    <w:rsid w:val="00476283"/>
    <w:rsid w:val="00476B18"/>
    <w:rsid w:val="004770F9"/>
    <w:rsid w:val="00477427"/>
    <w:rsid w:val="00477768"/>
    <w:rsid w:val="004804BA"/>
    <w:rsid w:val="00481280"/>
    <w:rsid w:val="004815C3"/>
    <w:rsid w:val="00481D52"/>
    <w:rsid w:val="00482844"/>
    <w:rsid w:val="00482C92"/>
    <w:rsid w:val="00483A02"/>
    <w:rsid w:val="00483A1E"/>
    <w:rsid w:val="00484A59"/>
    <w:rsid w:val="00484E74"/>
    <w:rsid w:val="00485356"/>
    <w:rsid w:val="00486135"/>
    <w:rsid w:val="00486547"/>
    <w:rsid w:val="00486553"/>
    <w:rsid w:val="00486C09"/>
    <w:rsid w:val="00486D27"/>
    <w:rsid w:val="0048726A"/>
    <w:rsid w:val="004879C8"/>
    <w:rsid w:val="00491957"/>
    <w:rsid w:val="00492BC5"/>
    <w:rsid w:val="00493214"/>
    <w:rsid w:val="00495BAC"/>
    <w:rsid w:val="004964F1"/>
    <w:rsid w:val="00497C4B"/>
    <w:rsid w:val="00497E86"/>
    <w:rsid w:val="004A16B2"/>
    <w:rsid w:val="004A16BC"/>
    <w:rsid w:val="004A1959"/>
    <w:rsid w:val="004A1CF1"/>
    <w:rsid w:val="004A2B0B"/>
    <w:rsid w:val="004A2B94"/>
    <w:rsid w:val="004A332D"/>
    <w:rsid w:val="004A47FC"/>
    <w:rsid w:val="004A5701"/>
    <w:rsid w:val="004A57CC"/>
    <w:rsid w:val="004A73AD"/>
    <w:rsid w:val="004A7C26"/>
    <w:rsid w:val="004B03D3"/>
    <w:rsid w:val="004B08DD"/>
    <w:rsid w:val="004B15E0"/>
    <w:rsid w:val="004B1834"/>
    <w:rsid w:val="004B1BD1"/>
    <w:rsid w:val="004B25E7"/>
    <w:rsid w:val="004B2B98"/>
    <w:rsid w:val="004B36CF"/>
    <w:rsid w:val="004B3C56"/>
    <w:rsid w:val="004B6314"/>
    <w:rsid w:val="004B6F6A"/>
    <w:rsid w:val="004B7460"/>
    <w:rsid w:val="004B7C0C"/>
    <w:rsid w:val="004C0306"/>
    <w:rsid w:val="004C0328"/>
    <w:rsid w:val="004C0456"/>
    <w:rsid w:val="004C110B"/>
    <w:rsid w:val="004C18B5"/>
    <w:rsid w:val="004C2F91"/>
    <w:rsid w:val="004C3446"/>
    <w:rsid w:val="004C3898"/>
    <w:rsid w:val="004C4B1D"/>
    <w:rsid w:val="004C5ADD"/>
    <w:rsid w:val="004C5B51"/>
    <w:rsid w:val="004C6640"/>
    <w:rsid w:val="004D1343"/>
    <w:rsid w:val="004D138A"/>
    <w:rsid w:val="004D14F3"/>
    <w:rsid w:val="004D2EAA"/>
    <w:rsid w:val="004D36B1"/>
    <w:rsid w:val="004D4950"/>
    <w:rsid w:val="004D65BE"/>
    <w:rsid w:val="004D66B9"/>
    <w:rsid w:val="004D7A00"/>
    <w:rsid w:val="004D7EBD"/>
    <w:rsid w:val="004E0A12"/>
    <w:rsid w:val="004E23FF"/>
    <w:rsid w:val="004E2680"/>
    <w:rsid w:val="004E28F9"/>
    <w:rsid w:val="004E2F48"/>
    <w:rsid w:val="004E34E2"/>
    <w:rsid w:val="004E462E"/>
    <w:rsid w:val="004E49DE"/>
    <w:rsid w:val="004E5044"/>
    <w:rsid w:val="004E56DC"/>
    <w:rsid w:val="004E76F4"/>
    <w:rsid w:val="004F036C"/>
    <w:rsid w:val="004F06E9"/>
    <w:rsid w:val="004F0728"/>
    <w:rsid w:val="004F0B4E"/>
    <w:rsid w:val="004F0B6C"/>
    <w:rsid w:val="004F19CA"/>
    <w:rsid w:val="004F1AD7"/>
    <w:rsid w:val="004F2078"/>
    <w:rsid w:val="004F2CC3"/>
    <w:rsid w:val="004F3701"/>
    <w:rsid w:val="004F4DA3"/>
    <w:rsid w:val="004F5516"/>
    <w:rsid w:val="004F5836"/>
    <w:rsid w:val="004F6915"/>
    <w:rsid w:val="00501A17"/>
    <w:rsid w:val="0050358F"/>
    <w:rsid w:val="00503917"/>
    <w:rsid w:val="00503E21"/>
    <w:rsid w:val="005048DA"/>
    <w:rsid w:val="005064FF"/>
    <w:rsid w:val="00506557"/>
    <w:rsid w:val="0050677A"/>
    <w:rsid w:val="0050691E"/>
    <w:rsid w:val="005108D8"/>
    <w:rsid w:val="005116F9"/>
    <w:rsid w:val="00511966"/>
    <w:rsid w:val="00511F95"/>
    <w:rsid w:val="005122AA"/>
    <w:rsid w:val="00512965"/>
    <w:rsid w:val="00512D6F"/>
    <w:rsid w:val="005153A7"/>
    <w:rsid w:val="00515DDD"/>
    <w:rsid w:val="00516055"/>
    <w:rsid w:val="005171E1"/>
    <w:rsid w:val="00520891"/>
    <w:rsid w:val="00520AAD"/>
    <w:rsid w:val="005219CF"/>
    <w:rsid w:val="005236E4"/>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C62"/>
    <w:rsid w:val="00537FEA"/>
    <w:rsid w:val="00543274"/>
    <w:rsid w:val="00543CF7"/>
    <w:rsid w:val="00544939"/>
    <w:rsid w:val="00546970"/>
    <w:rsid w:val="00547626"/>
    <w:rsid w:val="00547FB1"/>
    <w:rsid w:val="0055051B"/>
    <w:rsid w:val="005511F2"/>
    <w:rsid w:val="005535A0"/>
    <w:rsid w:val="00554E19"/>
    <w:rsid w:val="00556271"/>
    <w:rsid w:val="005602E0"/>
    <w:rsid w:val="00560539"/>
    <w:rsid w:val="00560E01"/>
    <w:rsid w:val="00561065"/>
    <w:rsid w:val="0056121F"/>
    <w:rsid w:val="00561E0B"/>
    <w:rsid w:val="0056254D"/>
    <w:rsid w:val="00563155"/>
    <w:rsid w:val="00563741"/>
    <w:rsid w:val="0056420A"/>
    <w:rsid w:val="00564508"/>
    <w:rsid w:val="00565D50"/>
    <w:rsid w:val="00566C05"/>
    <w:rsid w:val="00570FBE"/>
    <w:rsid w:val="00572505"/>
    <w:rsid w:val="00572FD1"/>
    <w:rsid w:val="00573644"/>
    <w:rsid w:val="00574F43"/>
    <w:rsid w:val="0058193B"/>
    <w:rsid w:val="00582288"/>
    <w:rsid w:val="00582809"/>
    <w:rsid w:val="0058488F"/>
    <w:rsid w:val="00585866"/>
    <w:rsid w:val="005877E6"/>
    <w:rsid w:val="0058798C"/>
    <w:rsid w:val="005900FA"/>
    <w:rsid w:val="0059021A"/>
    <w:rsid w:val="0059028E"/>
    <w:rsid w:val="0059109E"/>
    <w:rsid w:val="0059330D"/>
    <w:rsid w:val="005935A4"/>
    <w:rsid w:val="00593F5D"/>
    <w:rsid w:val="005948C2"/>
    <w:rsid w:val="005948C8"/>
    <w:rsid w:val="00595DCA"/>
    <w:rsid w:val="005963E4"/>
    <w:rsid w:val="00596893"/>
    <w:rsid w:val="00596ADE"/>
    <w:rsid w:val="00597317"/>
    <w:rsid w:val="005975FE"/>
    <w:rsid w:val="00597630"/>
    <w:rsid w:val="0059779B"/>
    <w:rsid w:val="00597A91"/>
    <w:rsid w:val="00597AC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F48"/>
    <w:rsid w:val="005B5B19"/>
    <w:rsid w:val="005B5EC3"/>
    <w:rsid w:val="005B66BA"/>
    <w:rsid w:val="005B6F83"/>
    <w:rsid w:val="005B7EE3"/>
    <w:rsid w:val="005B7FC8"/>
    <w:rsid w:val="005C042B"/>
    <w:rsid w:val="005C2359"/>
    <w:rsid w:val="005C31B5"/>
    <w:rsid w:val="005C41E6"/>
    <w:rsid w:val="005C4E27"/>
    <w:rsid w:val="005C4F32"/>
    <w:rsid w:val="005C592B"/>
    <w:rsid w:val="005C6D53"/>
    <w:rsid w:val="005C74FB"/>
    <w:rsid w:val="005C7925"/>
    <w:rsid w:val="005C7AA9"/>
    <w:rsid w:val="005D1602"/>
    <w:rsid w:val="005D2FF9"/>
    <w:rsid w:val="005D3013"/>
    <w:rsid w:val="005D348B"/>
    <w:rsid w:val="005D3619"/>
    <w:rsid w:val="005D4431"/>
    <w:rsid w:val="005D4711"/>
    <w:rsid w:val="005D4D02"/>
    <w:rsid w:val="005D5C02"/>
    <w:rsid w:val="005D5F5A"/>
    <w:rsid w:val="005D6570"/>
    <w:rsid w:val="005D69CF"/>
    <w:rsid w:val="005D6E99"/>
    <w:rsid w:val="005D764D"/>
    <w:rsid w:val="005D7AA7"/>
    <w:rsid w:val="005E0D4F"/>
    <w:rsid w:val="005E2126"/>
    <w:rsid w:val="005E24B7"/>
    <w:rsid w:val="005E3510"/>
    <w:rsid w:val="005E385F"/>
    <w:rsid w:val="005E3BB1"/>
    <w:rsid w:val="005E4D0F"/>
    <w:rsid w:val="005E5B81"/>
    <w:rsid w:val="005E5D81"/>
    <w:rsid w:val="005E6E56"/>
    <w:rsid w:val="005E74C8"/>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1722"/>
    <w:rsid w:val="00601874"/>
    <w:rsid w:val="0060283C"/>
    <w:rsid w:val="00602DF0"/>
    <w:rsid w:val="0060477E"/>
    <w:rsid w:val="00604949"/>
    <w:rsid w:val="00604F14"/>
    <w:rsid w:val="00605A2B"/>
    <w:rsid w:val="006064AB"/>
    <w:rsid w:val="0060671A"/>
    <w:rsid w:val="006068B7"/>
    <w:rsid w:val="00606C75"/>
    <w:rsid w:val="006119E0"/>
    <w:rsid w:val="00611B83"/>
    <w:rsid w:val="00612218"/>
    <w:rsid w:val="0061231C"/>
    <w:rsid w:val="006125E8"/>
    <w:rsid w:val="00613257"/>
    <w:rsid w:val="00613384"/>
    <w:rsid w:val="00614EE1"/>
    <w:rsid w:val="006168D7"/>
    <w:rsid w:val="00616C3F"/>
    <w:rsid w:val="0061774C"/>
    <w:rsid w:val="00620A71"/>
    <w:rsid w:val="00620D80"/>
    <w:rsid w:val="0062114C"/>
    <w:rsid w:val="006234A6"/>
    <w:rsid w:val="006236DE"/>
    <w:rsid w:val="00624168"/>
    <w:rsid w:val="006242D0"/>
    <w:rsid w:val="0062453E"/>
    <w:rsid w:val="00624AAA"/>
    <w:rsid w:val="00624EF7"/>
    <w:rsid w:val="00625725"/>
    <w:rsid w:val="00626E76"/>
    <w:rsid w:val="00627A37"/>
    <w:rsid w:val="00627C31"/>
    <w:rsid w:val="00630001"/>
    <w:rsid w:val="00630586"/>
    <w:rsid w:val="006311B3"/>
    <w:rsid w:val="0063284C"/>
    <w:rsid w:val="00632C09"/>
    <w:rsid w:val="00632D4A"/>
    <w:rsid w:val="0063314D"/>
    <w:rsid w:val="0063323F"/>
    <w:rsid w:val="00633811"/>
    <w:rsid w:val="00633BA1"/>
    <w:rsid w:val="006342FB"/>
    <w:rsid w:val="00634DA1"/>
    <w:rsid w:val="00635265"/>
    <w:rsid w:val="006353FF"/>
    <w:rsid w:val="00636167"/>
    <w:rsid w:val="00636398"/>
    <w:rsid w:val="006368D3"/>
    <w:rsid w:val="006377EC"/>
    <w:rsid w:val="00637F02"/>
    <w:rsid w:val="0064104C"/>
    <w:rsid w:val="0064151F"/>
    <w:rsid w:val="00641533"/>
    <w:rsid w:val="00641820"/>
    <w:rsid w:val="00641E41"/>
    <w:rsid w:val="0064208D"/>
    <w:rsid w:val="006420BE"/>
    <w:rsid w:val="00643475"/>
    <w:rsid w:val="00643851"/>
    <w:rsid w:val="0064396A"/>
    <w:rsid w:val="00643A86"/>
    <w:rsid w:val="00643D8F"/>
    <w:rsid w:val="00644234"/>
    <w:rsid w:val="00644875"/>
    <w:rsid w:val="00645707"/>
    <w:rsid w:val="0064624E"/>
    <w:rsid w:val="006501C4"/>
    <w:rsid w:val="00650AB9"/>
    <w:rsid w:val="006513F6"/>
    <w:rsid w:val="00651FB2"/>
    <w:rsid w:val="0065211A"/>
    <w:rsid w:val="006536B1"/>
    <w:rsid w:val="006537FE"/>
    <w:rsid w:val="00654E69"/>
    <w:rsid w:val="006551D1"/>
    <w:rsid w:val="006553BC"/>
    <w:rsid w:val="00655733"/>
    <w:rsid w:val="00655ACD"/>
    <w:rsid w:val="00656A92"/>
    <w:rsid w:val="00656DDE"/>
    <w:rsid w:val="0066011D"/>
    <w:rsid w:val="006607C0"/>
    <w:rsid w:val="00660E97"/>
    <w:rsid w:val="00661078"/>
    <w:rsid w:val="006613A6"/>
    <w:rsid w:val="0066243B"/>
    <w:rsid w:val="006627A2"/>
    <w:rsid w:val="006634E6"/>
    <w:rsid w:val="006655EE"/>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E7"/>
    <w:rsid w:val="00682D7F"/>
    <w:rsid w:val="00683199"/>
    <w:rsid w:val="0068320E"/>
    <w:rsid w:val="00683CDE"/>
    <w:rsid w:val="00683ECE"/>
    <w:rsid w:val="00685538"/>
    <w:rsid w:val="00685D95"/>
    <w:rsid w:val="00687D41"/>
    <w:rsid w:val="00690402"/>
    <w:rsid w:val="00691AF1"/>
    <w:rsid w:val="00691B95"/>
    <w:rsid w:val="00693114"/>
    <w:rsid w:val="006939D6"/>
    <w:rsid w:val="00694333"/>
    <w:rsid w:val="006948BF"/>
    <w:rsid w:val="00695FC2"/>
    <w:rsid w:val="00696949"/>
    <w:rsid w:val="00697052"/>
    <w:rsid w:val="006974DE"/>
    <w:rsid w:val="006A0FB1"/>
    <w:rsid w:val="006A1333"/>
    <w:rsid w:val="006A2E08"/>
    <w:rsid w:val="006A34A2"/>
    <w:rsid w:val="006A46B9"/>
    <w:rsid w:val="006A46FB"/>
    <w:rsid w:val="006A5E28"/>
    <w:rsid w:val="006A697B"/>
    <w:rsid w:val="006A6AF3"/>
    <w:rsid w:val="006A718E"/>
    <w:rsid w:val="006A71FC"/>
    <w:rsid w:val="006A7AFF"/>
    <w:rsid w:val="006A7CA3"/>
    <w:rsid w:val="006B1816"/>
    <w:rsid w:val="006B2099"/>
    <w:rsid w:val="006B2E36"/>
    <w:rsid w:val="006B4ED9"/>
    <w:rsid w:val="006B50CF"/>
    <w:rsid w:val="006B57E7"/>
    <w:rsid w:val="006B5FAD"/>
    <w:rsid w:val="006B5FB7"/>
    <w:rsid w:val="006B60B4"/>
    <w:rsid w:val="006B6228"/>
    <w:rsid w:val="006B6F27"/>
    <w:rsid w:val="006B7650"/>
    <w:rsid w:val="006B7AE2"/>
    <w:rsid w:val="006C03B8"/>
    <w:rsid w:val="006C0ACC"/>
    <w:rsid w:val="006C1011"/>
    <w:rsid w:val="006C11DD"/>
    <w:rsid w:val="006C2FE7"/>
    <w:rsid w:val="006C3834"/>
    <w:rsid w:val="006C38B4"/>
    <w:rsid w:val="006C56E8"/>
    <w:rsid w:val="006C59B3"/>
    <w:rsid w:val="006C5A6E"/>
    <w:rsid w:val="006C5EC9"/>
    <w:rsid w:val="006C6059"/>
    <w:rsid w:val="006C6ED9"/>
    <w:rsid w:val="006C7084"/>
    <w:rsid w:val="006C7522"/>
    <w:rsid w:val="006C7A6B"/>
    <w:rsid w:val="006D0CB8"/>
    <w:rsid w:val="006D10CC"/>
    <w:rsid w:val="006D1484"/>
    <w:rsid w:val="006D184B"/>
    <w:rsid w:val="006D4C18"/>
    <w:rsid w:val="006D4EFD"/>
    <w:rsid w:val="006D5F00"/>
    <w:rsid w:val="006D6954"/>
    <w:rsid w:val="006D6F08"/>
    <w:rsid w:val="006D7A83"/>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446"/>
    <w:rsid w:val="006E4E39"/>
    <w:rsid w:val="006E565E"/>
    <w:rsid w:val="006E673D"/>
    <w:rsid w:val="006E7145"/>
    <w:rsid w:val="006E7180"/>
    <w:rsid w:val="006E71D0"/>
    <w:rsid w:val="006E7D3B"/>
    <w:rsid w:val="006E7E00"/>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7005A7"/>
    <w:rsid w:val="00700BA0"/>
    <w:rsid w:val="00701741"/>
    <w:rsid w:val="00702C0C"/>
    <w:rsid w:val="0070346E"/>
    <w:rsid w:val="007035E1"/>
    <w:rsid w:val="00704875"/>
    <w:rsid w:val="00704EDB"/>
    <w:rsid w:val="007054E9"/>
    <w:rsid w:val="00706101"/>
    <w:rsid w:val="0070663C"/>
    <w:rsid w:val="00706FB9"/>
    <w:rsid w:val="00707072"/>
    <w:rsid w:val="007076E9"/>
    <w:rsid w:val="00707D61"/>
    <w:rsid w:val="007104E0"/>
    <w:rsid w:val="00712287"/>
    <w:rsid w:val="00712603"/>
    <w:rsid w:val="00712772"/>
    <w:rsid w:val="00713587"/>
    <w:rsid w:val="007136D1"/>
    <w:rsid w:val="00714366"/>
    <w:rsid w:val="007148D3"/>
    <w:rsid w:val="00715B9A"/>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479F"/>
    <w:rsid w:val="007348B1"/>
    <w:rsid w:val="0073518F"/>
    <w:rsid w:val="00735698"/>
    <w:rsid w:val="007362A6"/>
    <w:rsid w:val="007364F1"/>
    <w:rsid w:val="00736D7D"/>
    <w:rsid w:val="0073723A"/>
    <w:rsid w:val="0074019A"/>
    <w:rsid w:val="007401B5"/>
    <w:rsid w:val="00740D30"/>
    <w:rsid w:val="00740E4D"/>
    <w:rsid w:val="00740E58"/>
    <w:rsid w:val="00742C49"/>
    <w:rsid w:val="007433C3"/>
    <w:rsid w:val="007445A0"/>
    <w:rsid w:val="0074524B"/>
    <w:rsid w:val="0074614E"/>
    <w:rsid w:val="0074617D"/>
    <w:rsid w:val="00746553"/>
    <w:rsid w:val="00746D91"/>
    <w:rsid w:val="007473B5"/>
    <w:rsid w:val="00747D8B"/>
    <w:rsid w:val="00750597"/>
    <w:rsid w:val="00751228"/>
    <w:rsid w:val="00751742"/>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3C7"/>
    <w:rsid w:val="00765281"/>
    <w:rsid w:val="007664AF"/>
    <w:rsid w:val="00766BAD"/>
    <w:rsid w:val="00766E6F"/>
    <w:rsid w:val="00770FF4"/>
    <w:rsid w:val="007729A2"/>
    <w:rsid w:val="00773FD7"/>
    <w:rsid w:val="00774AD3"/>
    <w:rsid w:val="007755CC"/>
    <w:rsid w:val="007755F2"/>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43C3"/>
    <w:rsid w:val="00785490"/>
    <w:rsid w:val="007869FD"/>
    <w:rsid w:val="0078731E"/>
    <w:rsid w:val="007903EA"/>
    <w:rsid w:val="00791311"/>
    <w:rsid w:val="00791B2E"/>
    <w:rsid w:val="007925EA"/>
    <w:rsid w:val="00792A01"/>
    <w:rsid w:val="00793CD8"/>
    <w:rsid w:val="00795A20"/>
    <w:rsid w:val="00795C92"/>
    <w:rsid w:val="00795CA4"/>
    <w:rsid w:val="0079618A"/>
    <w:rsid w:val="00796231"/>
    <w:rsid w:val="007965E9"/>
    <w:rsid w:val="00796B94"/>
    <w:rsid w:val="00796C94"/>
    <w:rsid w:val="00796E86"/>
    <w:rsid w:val="00797AA5"/>
    <w:rsid w:val="00797AC9"/>
    <w:rsid w:val="007A14AE"/>
    <w:rsid w:val="007A1CB3"/>
    <w:rsid w:val="007A306F"/>
    <w:rsid w:val="007A3A96"/>
    <w:rsid w:val="007A3F5A"/>
    <w:rsid w:val="007A43A6"/>
    <w:rsid w:val="007A44B6"/>
    <w:rsid w:val="007A58A6"/>
    <w:rsid w:val="007A6143"/>
    <w:rsid w:val="007A6BEF"/>
    <w:rsid w:val="007A6C0A"/>
    <w:rsid w:val="007B0E4E"/>
    <w:rsid w:val="007B198A"/>
    <w:rsid w:val="007B19CE"/>
    <w:rsid w:val="007B3D2D"/>
    <w:rsid w:val="007B4C26"/>
    <w:rsid w:val="007B50AE"/>
    <w:rsid w:val="007B51DF"/>
    <w:rsid w:val="007B523E"/>
    <w:rsid w:val="007B5695"/>
    <w:rsid w:val="007B5ABB"/>
    <w:rsid w:val="007B6462"/>
    <w:rsid w:val="007B6B29"/>
    <w:rsid w:val="007C05DD"/>
    <w:rsid w:val="007C0658"/>
    <w:rsid w:val="007C0960"/>
    <w:rsid w:val="007C21A1"/>
    <w:rsid w:val="007C2F05"/>
    <w:rsid w:val="007C3C78"/>
    <w:rsid w:val="007C3D18"/>
    <w:rsid w:val="007C4AB1"/>
    <w:rsid w:val="007C4B2C"/>
    <w:rsid w:val="007C60BF"/>
    <w:rsid w:val="007C6A07"/>
    <w:rsid w:val="007C75A1"/>
    <w:rsid w:val="007C77A5"/>
    <w:rsid w:val="007D04E5"/>
    <w:rsid w:val="007D07A0"/>
    <w:rsid w:val="007D1559"/>
    <w:rsid w:val="007D2C3A"/>
    <w:rsid w:val="007D2F19"/>
    <w:rsid w:val="007D34FC"/>
    <w:rsid w:val="007D4216"/>
    <w:rsid w:val="007D5901"/>
    <w:rsid w:val="007D635F"/>
    <w:rsid w:val="007D7526"/>
    <w:rsid w:val="007E1102"/>
    <w:rsid w:val="007E1805"/>
    <w:rsid w:val="007E1CBB"/>
    <w:rsid w:val="007E2A09"/>
    <w:rsid w:val="007E2E5E"/>
    <w:rsid w:val="007E4166"/>
    <w:rsid w:val="007E4610"/>
    <w:rsid w:val="007E4715"/>
    <w:rsid w:val="007E4F91"/>
    <w:rsid w:val="007E505B"/>
    <w:rsid w:val="007E5A55"/>
    <w:rsid w:val="007E5A87"/>
    <w:rsid w:val="007E7091"/>
    <w:rsid w:val="007F09A8"/>
    <w:rsid w:val="007F24FD"/>
    <w:rsid w:val="007F267A"/>
    <w:rsid w:val="007F3861"/>
    <w:rsid w:val="007F3F74"/>
    <w:rsid w:val="007F64D0"/>
    <w:rsid w:val="007F761B"/>
    <w:rsid w:val="007F76FD"/>
    <w:rsid w:val="00800763"/>
    <w:rsid w:val="00802769"/>
    <w:rsid w:val="00803FAE"/>
    <w:rsid w:val="0080413E"/>
    <w:rsid w:val="00804362"/>
    <w:rsid w:val="00804AB7"/>
    <w:rsid w:val="00805B47"/>
    <w:rsid w:val="0080605F"/>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7196"/>
    <w:rsid w:val="008171A4"/>
    <w:rsid w:val="008171A5"/>
    <w:rsid w:val="0081769B"/>
    <w:rsid w:val="008177A0"/>
    <w:rsid w:val="00820E86"/>
    <w:rsid w:val="00820F62"/>
    <w:rsid w:val="008221A3"/>
    <w:rsid w:val="00822ABE"/>
    <w:rsid w:val="008235DB"/>
    <w:rsid w:val="0082389D"/>
    <w:rsid w:val="008246CE"/>
    <w:rsid w:val="00824AB4"/>
    <w:rsid w:val="00825BDD"/>
    <w:rsid w:val="00825C42"/>
    <w:rsid w:val="00825D25"/>
    <w:rsid w:val="00827199"/>
    <w:rsid w:val="00827CE4"/>
    <w:rsid w:val="00827D6F"/>
    <w:rsid w:val="0083152D"/>
    <w:rsid w:val="00831803"/>
    <w:rsid w:val="00831A58"/>
    <w:rsid w:val="00831F35"/>
    <w:rsid w:val="0083293E"/>
    <w:rsid w:val="00833B7A"/>
    <w:rsid w:val="0083743A"/>
    <w:rsid w:val="008376AC"/>
    <w:rsid w:val="008421D5"/>
    <w:rsid w:val="00843939"/>
    <w:rsid w:val="00843DAB"/>
    <w:rsid w:val="008444E8"/>
    <w:rsid w:val="00844E80"/>
    <w:rsid w:val="00845122"/>
    <w:rsid w:val="0084571B"/>
    <w:rsid w:val="00846FE7"/>
    <w:rsid w:val="00850525"/>
    <w:rsid w:val="008506F4"/>
    <w:rsid w:val="00851467"/>
    <w:rsid w:val="00852016"/>
    <w:rsid w:val="008522AF"/>
    <w:rsid w:val="00852904"/>
    <w:rsid w:val="0085308B"/>
    <w:rsid w:val="008537F6"/>
    <w:rsid w:val="00853870"/>
    <w:rsid w:val="00853CB7"/>
    <w:rsid w:val="008559FB"/>
    <w:rsid w:val="0085600A"/>
    <w:rsid w:val="008568F3"/>
    <w:rsid w:val="00856911"/>
    <w:rsid w:val="00857672"/>
    <w:rsid w:val="00861C55"/>
    <w:rsid w:val="00864064"/>
    <w:rsid w:val="008650F4"/>
    <w:rsid w:val="00865257"/>
    <w:rsid w:val="0086565E"/>
    <w:rsid w:val="00865ABA"/>
    <w:rsid w:val="00865C2E"/>
    <w:rsid w:val="0086618B"/>
    <w:rsid w:val="00866406"/>
    <w:rsid w:val="008668C9"/>
    <w:rsid w:val="00867215"/>
    <w:rsid w:val="008677FD"/>
    <w:rsid w:val="008700E9"/>
    <w:rsid w:val="008706D4"/>
    <w:rsid w:val="00870F8A"/>
    <w:rsid w:val="008719A4"/>
    <w:rsid w:val="00871D23"/>
    <w:rsid w:val="00871D86"/>
    <w:rsid w:val="00873ED2"/>
    <w:rsid w:val="00874312"/>
    <w:rsid w:val="0087437C"/>
    <w:rsid w:val="0087468F"/>
    <w:rsid w:val="00875CD7"/>
    <w:rsid w:val="00876B4D"/>
    <w:rsid w:val="00876EF5"/>
    <w:rsid w:val="008773F3"/>
    <w:rsid w:val="00877465"/>
    <w:rsid w:val="00877F18"/>
    <w:rsid w:val="008817FA"/>
    <w:rsid w:val="00881C51"/>
    <w:rsid w:val="008820F0"/>
    <w:rsid w:val="00882AB6"/>
    <w:rsid w:val="008840FE"/>
    <w:rsid w:val="008843B8"/>
    <w:rsid w:val="00884424"/>
    <w:rsid w:val="00885008"/>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51A0"/>
    <w:rsid w:val="008B592A"/>
    <w:rsid w:val="008B6227"/>
    <w:rsid w:val="008B6904"/>
    <w:rsid w:val="008B7505"/>
    <w:rsid w:val="008B763F"/>
    <w:rsid w:val="008B7B5C"/>
    <w:rsid w:val="008C0C99"/>
    <w:rsid w:val="008C1EC7"/>
    <w:rsid w:val="008C2017"/>
    <w:rsid w:val="008C20C3"/>
    <w:rsid w:val="008C4958"/>
    <w:rsid w:val="008C4BAA"/>
    <w:rsid w:val="008C4ECF"/>
    <w:rsid w:val="008C54EE"/>
    <w:rsid w:val="008C5938"/>
    <w:rsid w:val="008C67CD"/>
    <w:rsid w:val="008C6949"/>
    <w:rsid w:val="008C6ADF"/>
    <w:rsid w:val="008C6AE8"/>
    <w:rsid w:val="008C7573"/>
    <w:rsid w:val="008D00A5"/>
    <w:rsid w:val="008D0DA6"/>
    <w:rsid w:val="008D34F1"/>
    <w:rsid w:val="008D39D8"/>
    <w:rsid w:val="008D3BB1"/>
    <w:rsid w:val="008D5C28"/>
    <w:rsid w:val="008D62CD"/>
    <w:rsid w:val="008D6D1A"/>
    <w:rsid w:val="008D707A"/>
    <w:rsid w:val="008D7CE1"/>
    <w:rsid w:val="008E065D"/>
    <w:rsid w:val="008E065E"/>
    <w:rsid w:val="008E0914"/>
    <w:rsid w:val="008E0927"/>
    <w:rsid w:val="008E1404"/>
    <w:rsid w:val="008E1909"/>
    <w:rsid w:val="008E4EBB"/>
    <w:rsid w:val="008E5378"/>
    <w:rsid w:val="008E6569"/>
    <w:rsid w:val="008E6737"/>
    <w:rsid w:val="008E723C"/>
    <w:rsid w:val="008E7855"/>
    <w:rsid w:val="008E7DBB"/>
    <w:rsid w:val="008F0B3C"/>
    <w:rsid w:val="008F1C4E"/>
    <w:rsid w:val="008F1CD7"/>
    <w:rsid w:val="008F1EAB"/>
    <w:rsid w:val="008F2924"/>
    <w:rsid w:val="008F2B04"/>
    <w:rsid w:val="008F33DC"/>
    <w:rsid w:val="008F3D46"/>
    <w:rsid w:val="008F4035"/>
    <w:rsid w:val="008F477F"/>
    <w:rsid w:val="008F55C0"/>
    <w:rsid w:val="008F7FFC"/>
    <w:rsid w:val="00901107"/>
    <w:rsid w:val="009014A7"/>
    <w:rsid w:val="00901B4E"/>
    <w:rsid w:val="00902350"/>
    <w:rsid w:val="0090336B"/>
    <w:rsid w:val="00903472"/>
    <w:rsid w:val="00903741"/>
    <w:rsid w:val="0090380B"/>
    <w:rsid w:val="009048B1"/>
    <w:rsid w:val="009048C1"/>
    <w:rsid w:val="00904E24"/>
    <w:rsid w:val="009053AA"/>
    <w:rsid w:val="00906410"/>
    <w:rsid w:val="00906862"/>
    <w:rsid w:val="00906939"/>
    <w:rsid w:val="00910B7D"/>
    <w:rsid w:val="00911DFB"/>
    <w:rsid w:val="0091215A"/>
    <w:rsid w:val="00912236"/>
    <w:rsid w:val="00912549"/>
    <w:rsid w:val="009125A6"/>
    <w:rsid w:val="009139D9"/>
    <w:rsid w:val="009145D7"/>
    <w:rsid w:val="00914AD8"/>
    <w:rsid w:val="009152E8"/>
    <w:rsid w:val="00915364"/>
    <w:rsid w:val="0091548D"/>
    <w:rsid w:val="00916079"/>
    <w:rsid w:val="00916286"/>
    <w:rsid w:val="00916DF3"/>
    <w:rsid w:val="0091763C"/>
    <w:rsid w:val="00917CE9"/>
    <w:rsid w:val="0092075B"/>
    <w:rsid w:val="009208B2"/>
    <w:rsid w:val="00920BF2"/>
    <w:rsid w:val="00922010"/>
    <w:rsid w:val="0092236C"/>
    <w:rsid w:val="009223CE"/>
    <w:rsid w:val="00922686"/>
    <w:rsid w:val="00923A84"/>
    <w:rsid w:val="00924EEA"/>
    <w:rsid w:val="0092571F"/>
    <w:rsid w:val="00925A6D"/>
    <w:rsid w:val="009265B2"/>
    <w:rsid w:val="00927083"/>
    <w:rsid w:val="00927994"/>
    <w:rsid w:val="00931BD9"/>
    <w:rsid w:val="009368F3"/>
    <w:rsid w:val="00936E00"/>
    <w:rsid w:val="00937FC2"/>
    <w:rsid w:val="009406E7"/>
    <w:rsid w:val="00941636"/>
    <w:rsid w:val="00942CC2"/>
    <w:rsid w:val="00943742"/>
    <w:rsid w:val="00943CCA"/>
    <w:rsid w:val="00944C7E"/>
    <w:rsid w:val="0094553D"/>
    <w:rsid w:val="00945C05"/>
    <w:rsid w:val="00945FBE"/>
    <w:rsid w:val="009465A3"/>
    <w:rsid w:val="00946945"/>
    <w:rsid w:val="009470E6"/>
    <w:rsid w:val="00947713"/>
    <w:rsid w:val="00947942"/>
    <w:rsid w:val="0095044A"/>
    <w:rsid w:val="0095089D"/>
    <w:rsid w:val="00950C90"/>
    <w:rsid w:val="00950DE7"/>
    <w:rsid w:val="00950EE4"/>
    <w:rsid w:val="00951452"/>
    <w:rsid w:val="00952201"/>
    <w:rsid w:val="00952246"/>
    <w:rsid w:val="0095262F"/>
    <w:rsid w:val="009535BB"/>
    <w:rsid w:val="00953920"/>
    <w:rsid w:val="009539FB"/>
    <w:rsid w:val="00953D47"/>
    <w:rsid w:val="009540F8"/>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DA7"/>
    <w:rsid w:val="009702F4"/>
    <w:rsid w:val="0097034E"/>
    <w:rsid w:val="0097040B"/>
    <w:rsid w:val="00971969"/>
    <w:rsid w:val="00971F08"/>
    <w:rsid w:val="009724E5"/>
    <w:rsid w:val="00972B1D"/>
    <w:rsid w:val="0097306A"/>
    <w:rsid w:val="009730BD"/>
    <w:rsid w:val="00974BF5"/>
    <w:rsid w:val="0097574F"/>
    <w:rsid w:val="0097603D"/>
    <w:rsid w:val="00976166"/>
    <w:rsid w:val="00976949"/>
    <w:rsid w:val="00976CF0"/>
    <w:rsid w:val="00980477"/>
    <w:rsid w:val="009808B2"/>
    <w:rsid w:val="00981526"/>
    <w:rsid w:val="00981CB5"/>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12DF"/>
    <w:rsid w:val="00991750"/>
    <w:rsid w:val="00991761"/>
    <w:rsid w:val="00992048"/>
    <w:rsid w:val="00992DE3"/>
    <w:rsid w:val="00993479"/>
    <w:rsid w:val="0099475E"/>
    <w:rsid w:val="00994B1C"/>
    <w:rsid w:val="00994DCA"/>
    <w:rsid w:val="0099516E"/>
    <w:rsid w:val="00995F58"/>
    <w:rsid w:val="009960EC"/>
    <w:rsid w:val="00996145"/>
    <w:rsid w:val="009962EB"/>
    <w:rsid w:val="009970DD"/>
    <w:rsid w:val="009972B0"/>
    <w:rsid w:val="00997585"/>
    <w:rsid w:val="00997DDF"/>
    <w:rsid w:val="009A0DC6"/>
    <w:rsid w:val="009A0FBA"/>
    <w:rsid w:val="009A1601"/>
    <w:rsid w:val="009A3811"/>
    <w:rsid w:val="009A3BB6"/>
    <w:rsid w:val="009A462D"/>
    <w:rsid w:val="009A4FF1"/>
    <w:rsid w:val="009A5706"/>
    <w:rsid w:val="009A5CBA"/>
    <w:rsid w:val="009A6E19"/>
    <w:rsid w:val="009A76BB"/>
    <w:rsid w:val="009B09D7"/>
    <w:rsid w:val="009B12F5"/>
    <w:rsid w:val="009B1DFC"/>
    <w:rsid w:val="009B1F30"/>
    <w:rsid w:val="009B22C8"/>
    <w:rsid w:val="009B2E1E"/>
    <w:rsid w:val="009B3AC2"/>
    <w:rsid w:val="009B4378"/>
    <w:rsid w:val="009B44C9"/>
    <w:rsid w:val="009B4773"/>
    <w:rsid w:val="009B4DF4"/>
    <w:rsid w:val="009B564E"/>
    <w:rsid w:val="009B5DEE"/>
    <w:rsid w:val="009B75DF"/>
    <w:rsid w:val="009B760B"/>
    <w:rsid w:val="009B7E87"/>
    <w:rsid w:val="009C0169"/>
    <w:rsid w:val="009C1119"/>
    <w:rsid w:val="009C1E59"/>
    <w:rsid w:val="009C3AEF"/>
    <w:rsid w:val="009C403E"/>
    <w:rsid w:val="009C4449"/>
    <w:rsid w:val="009C56A7"/>
    <w:rsid w:val="009C5D87"/>
    <w:rsid w:val="009C6FB2"/>
    <w:rsid w:val="009C70A9"/>
    <w:rsid w:val="009C77F0"/>
    <w:rsid w:val="009C7A45"/>
    <w:rsid w:val="009D0423"/>
    <w:rsid w:val="009D0B0F"/>
    <w:rsid w:val="009D2B61"/>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417"/>
    <w:rsid w:val="009E6EE3"/>
    <w:rsid w:val="009E7F1E"/>
    <w:rsid w:val="009E7F2C"/>
    <w:rsid w:val="009F08F3"/>
    <w:rsid w:val="009F0C9E"/>
    <w:rsid w:val="009F1741"/>
    <w:rsid w:val="009F20CF"/>
    <w:rsid w:val="009F344F"/>
    <w:rsid w:val="009F3B27"/>
    <w:rsid w:val="009F4374"/>
    <w:rsid w:val="009F50F7"/>
    <w:rsid w:val="009F6041"/>
    <w:rsid w:val="009F7D8F"/>
    <w:rsid w:val="00A000F4"/>
    <w:rsid w:val="00A00311"/>
    <w:rsid w:val="00A015AB"/>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710D"/>
    <w:rsid w:val="00A17EAD"/>
    <w:rsid w:val="00A17F63"/>
    <w:rsid w:val="00A21879"/>
    <w:rsid w:val="00A2193B"/>
    <w:rsid w:val="00A21AF1"/>
    <w:rsid w:val="00A21B6B"/>
    <w:rsid w:val="00A2351A"/>
    <w:rsid w:val="00A2483A"/>
    <w:rsid w:val="00A25856"/>
    <w:rsid w:val="00A25B4A"/>
    <w:rsid w:val="00A264A9"/>
    <w:rsid w:val="00A26701"/>
    <w:rsid w:val="00A26929"/>
    <w:rsid w:val="00A26CBC"/>
    <w:rsid w:val="00A26DCF"/>
    <w:rsid w:val="00A273EA"/>
    <w:rsid w:val="00A2770F"/>
    <w:rsid w:val="00A27785"/>
    <w:rsid w:val="00A30187"/>
    <w:rsid w:val="00A3056B"/>
    <w:rsid w:val="00A3162B"/>
    <w:rsid w:val="00A3176A"/>
    <w:rsid w:val="00A321B0"/>
    <w:rsid w:val="00A32DC8"/>
    <w:rsid w:val="00A33D5C"/>
    <w:rsid w:val="00A341C1"/>
    <w:rsid w:val="00A3448A"/>
    <w:rsid w:val="00A36297"/>
    <w:rsid w:val="00A36539"/>
    <w:rsid w:val="00A40052"/>
    <w:rsid w:val="00A41E2B"/>
    <w:rsid w:val="00A42056"/>
    <w:rsid w:val="00A43F84"/>
    <w:rsid w:val="00A43FAD"/>
    <w:rsid w:val="00A446EF"/>
    <w:rsid w:val="00A454C4"/>
    <w:rsid w:val="00A45B74"/>
    <w:rsid w:val="00A469F3"/>
    <w:rsid w:val="00A46E33"/>
    <w:rsid w:val="00A5024F"/>
    <w:rsid w:val="00A507B3"/>
    <w:rsid w:val="00A508A0"/>
    <w:rsid w:val="00A5092B"/>
    <w:rsid w:val="00A5109F"/>
    <w:rsid w:val="00A51117"/>
    <w:rsid w:val="00A51307"/>
    <w:rsid w:val="00A515A6"/>
    <w:rsid w:val="00A52559"/>
    <w:rsid w:val="00A52864"/>
    <w:rsid w:val="00A52999"/>
    <w:rsid w:val="00A52B1E"/>
    <w:rsid w:val="00A52E1D"/>
    <w:rsid w:val="00A537DD"/>
    <w:rsid w:val="00A5566B"/>
    <w:rsid w:val="00A55764"/>
    <w:rsid w:val="00A578D7"/>
    <w:rsid w:val="00A60691"/>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D07"/>
    <w:rsid w:val="00A67582"/>
    <w:rsid w:val="00A67B89"/>
    <w:rsid w:val="00A67E6C"/>
    <w:rsid w:val="00A70A69"/>
    <w:rsid w:val="00A712CA"/>
    <w:rsid w:val="00A71B99"/>
    <w:rsid w:val="00A732B9"/>
    <w:rsid w:val="00A734C6"/>
    <w:rsid w:val="00A739D0"/>
    <w:rsid w:val="00A742B6"/>
    <w:rsid w:val="00A74875"/>
    <w:rsid w:val="00A75BB9"/>
    <w:rsid w:val="00A761D4"/>
    <w:rsid w:val="00A764A8"/>
    <w:rsid w:val="00A76DF5"/>
    <w:rsid w:val="00A76F38"/>
    <w:rsid w:val="00A77683"/>
    <w:rsid w:val="00A779AA"/>
    <w:rsid w:val="00A77CEB"/>
    <w:rsid w:val="00A77EC4"/>
    <w:rsid w:val="00A80AC6"/>
    <w:rsid w:val="00A80D0C"/>
    <w:rsid w:val="00A81FB0"/>
    <w:rsid w:val="00A84880"/>
    <w:rsid w:val="00A84971"/>
    <w:rsid w:val="00A84C48"/>
    <w:rsid w:val="00A84CCB"/>
    <w:rsid w:val="00A86583"/>
    <w:rsid w:val="00A90167"/>
    <w:rsid w:val="00A923E3"/>
    <w:rsid w:val="00A92879"/>
    <w:rsid w:val="00A92AF3"/>
    <w:rsid w:val="00A92C21"/>
    <w:rsid w:val="00A92C53"/>
    <w:rsid w:val="00A9442A"/>
    <w:rsid w:val="00A94D45"/>
    <w:rsid w:val="00A94E56"/>
    <w:rsid w:val="00A94FBE"/>
    <w:rsid w:val="00A955EE"/>
    <w:rsid w:val="00A9567A"/>
    <w:rsid w:val="00A96052"/>
    <w:rsid w:val="00A972B6"/>
    <w:rsid w:val="00AA016F"/>
    <w:rsid w:val="00AA0278"/>
    <w:rsid w:val="00AA0869"/>
    <w:rsid w:val="00AA14A6"/>
    <w:rsid w:val="00AA1ED6"/>
    <w:rsid w:val="00AA3057"/>
    <w:rsid w:val="00AA3297"/>
    <w:rsid w:val="00AA3377"/>
    <w:rsid w:val="00AA45A8"/>
    <w:rsid w:val="00AA51D6"/>
    <w:rsid w:val="00AA6A27"/>
    <w:rsid w:val="00AB0BC8"/>
    <w:rsid w:val="00AB11CA"/>
    <w:rsid w:val="00AB14D9"/>
    <w:rsid w:val="00AB210E"/>
    <w:rsid w:val="00AB2E59"/>
    <w:rsid w:val="00AB33F9"/>
    <w:rsid w:val="00AB3991"/>
    <w:rsid w:val="00AB3A07"/>
    <w:rsid w:val="00AB3F07"/>
    <w:rsid w:val="00AB4AB8"/>
    <w:rsid w:val="00AB534F"/>
    <w:rsid w:val="00AB5C6B"/>
    <w:rsid w:val="00AB655E"/>
    <w:rsid w:val="00AC007F"/>
    <w:rsid w:val="00AC0662"/>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D0"/>
    <w:rsid w:val="00AD397A"/>
    <w:rsid w:val="00AD3C37"/>
    <w:rsid w:val="00AD3F94"/>
    <w:rsid w:val="00AD42C9"/>
    <w:rsid w:val="00AD4A5A"/>
    <w:rsid w:val="00AD5BC3"/>
    <w:rsid w:val="00AD76A8"/>
    <w:rsid w:val="00AD7A98"/>
    <w:rsid w:val="00AE0827"/>
    <w:rsid w:val="00AE0D43"/>
    <w:rsid w:val="00AE1B53"/>
    <w:rsid w:val="00AE27AC"/>
    <w:rsid w:val="00AE40E0"/>
    <w:rsid w:val="00AE4789"/>
    <w:rsid w:val="00AE483E"/>
    <w:rsid w:val="00AE4DBA"/>
    <w:rsid w:val="00AE4EDF"/>
    <w:rsid w:val="00AE4F07"/>
    <w:rsid w:val="00AE5BFB"/>
    <w:rsid w:val="00AE7B95"/>
    <w:rsid w:val="00AF0476"/>
    <w:rsid w:val="00AF1C5D"/>
    <w:rsid w:val="00AF2830"/>
    <w:rsid w:val="00AF333C"/>
    <w:rsid w:val="00AF4233"/>
    <w:rsid w:val="00AF42D7"/>
    <w:rsid w:val="00AF5A54"/>
    <w:rsid w:val="00AF6BB0"/>
    <w:rsid w:val="00AF71B0"/>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AB0"/>
    <w:rsid w:val="00B135F8"/>
    <w:rsid w:val="00B138B2"/>
    <w:rsid w:val="00B13A4A"/>
    <w:rsid w:val="00B13CC7"/>
    <w:rsid w:val="00B157F9"/>
    <w:rsid w:val="00B16296"/>
    <w:rsid w:val="00B17833"/>
    <w:rsid w:val="00B17C29"/>
    <w:rsid w:val="00B20256"/>
    <w:rsid w:val="00B2081F"/>
    <w:rsid w:val="00B20D09"/>
    <w:rsid w:val="00B2109B"/>
    <w:rsid w:val="00B215F3"/>
    <w:rsid w:val="00B22AB2"/>
    <w:rsid w:val="00B2331F"/>
    <w:rsid w:val="00B23E2C"/>
    <w:rsid w:val="00B2763F"/>
    <w:rsid w:val="00B27A72"/>
    <w:rsid w:val="00B27AAC"/>
    <w:rsid w:val="00B27AD6"/>
    <w:rsid w:val="00B27CBC"/>
    <w:rsid w:val="00B27F65"/>
    <w:rsid w:val="00B30929"/>
    <w:rsid w:val="00B334C5"/>
    <w:rsid w:val="00B3408A"/>
    <w:rsid w:val="00B34676"/>
    <w:rsid w:val="00B34F37"/>
    <w:rsid w:val="00B372AA"/>
    <w:rsid w:val="00B40445"/>
    <w:rsid w:val="00B409E0"/>
    <w:rsid w:val="00B40D00"/>
    <w:rsid w:val="00B40D89"/>
    <w:rsid w:val="00B4117A"/>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33E0"/>
    <w:rsid w:val="00B53569"/>
    <w:rsid w:val="00B53869"/>
    <w:rsid w:val="00B53EB3"/>
    <w:rsid w:val="00B5478D"/>
    <w:rsid w:val="00B548B7"/>
    <w:rsid w:val="00B54D53"/>
    <w:rsid w:val="00B55B2A"/>
    <w:rsid w:val="00B56A0A"/>
    <w:rsid w:val="00B56A8A"/>
    <w:rsid w:val="00B56D20"/>
    <w:rsid w:val="00B57B0D"/>
    <w:rsid w:val="00B57E76"/>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5DE5"/>
    <w:rsid w:val="00B86238"/>
    <w:rsid w:val="00B8690D"/>
    <w:rsid w:val="00B86980"/>
    <w:rsid w:val="00B87716"/>
    <w:rsid w:val="00B90290"/>
    <w:rsid w:val="00B90F73"/>
    <w:rsid w:val="00B91D99"/>
    <w:rsid w:val="00B93B59"/>
    <w:rsid w:val="00B9406A"/>
    <w:rsid w:val="00B94528"/>
    <w:rsid w:val="00B959DE"/>
    <w:rsid w:val="00B963C3"/>
    <w:rsid w:val="00B96709"/>
    <w:rsid w:val="00BA179D"/>
    <w:rsid w:val="00BA1C21"/>
    <w:rsid w:val="00BA2280"/>
    <w:rsid w:val="00BA2A08"/>
    <w:rsid w:val="00BA4024"/>
    <w:rsid w:val="00BA40BA"/>
    <w:rsid w:val="00BA56D2"/>
    <w:rsid w:val="00BA5DE7"/>
    <w:rsid w:val="00BA695E"/>
    <w:rsid w:val="00BA76E0"/>
    <w:rsid w:val="00BB157B"/>
    <w:rsid w:val="00BB1F3D"/>
    <w:rsid w:val="00BB264F"/>
    <w:rsid w:val="00BB2A25"/>
    <w:rsid w:val="00BB2B99"/>
    <w:rsid w:val="00BB3DD1"/>
    <w:rsid w:val="00BB51E9"/>
    <w:rsid w:val="00BB6D6B"/>
    <w:rsid w:val="00BC0FDC"/>
    <w:rsid w:val="00BC1692"/>
    <w:rsid w:val="00BC2BBA"/>
    <w:rsid w:val="00BC3053"/>
    <w:rsid w:val="00BC4067"/>
    <w:rsid w:val="00BC4355"/>
    <w:rsid w:val="00BC4D2E"/>
    <w:rsid w:val="00BC4FDA"/>
    <w:rsid w:val="00BC7136"/>
    <w:rsid w:val="00BD009D"/>
    <w:rsid w:val="00BD1A2E"/>
    <w:rsid w:val="00BD24EF"/>
    <w:rsid w:val="00BD48AC"/>
    <w:rsid w:val="00BD5153"/>
    <w:rsid w:val="00BD5CBC"/>
    <w:rsid w:val="00BD5F1A"/>
    <w:rsid w:val="00BD658B"/>
    <w:rsid w:val="00BE1234"/>
    <w:rsid w:val="00BE2262"/>
    <w:rsid w:val="00BE2FA6"/>
    <w:rsid w:val="00BE31BF"/>
    <w:rsid w:val="00BE333F"/>
    <w:rsid w:val="00BE3EFA"/>
    <w:rsid w:val="00BE44A3"/>
    <w:rsid w:val="00BE6CD1"/>
    <w:rsid w:val="00BE7406"/>
    <w:rsid w:val="00BE7549"/>
    <w:rsid w:val="00BE7603"/>
    <w:rsid w:val="00BE7A5C"/>
    <w:rsid w:val="00BF2B26"/>
    <w:rsid w:val="00BF2E4F"/>
    <w:rsid w:val="00BF3279"/>
    <w:rsid w:val="00BF41B9"/>
    <w:rsid w:val="00BF47FF"/>
    <w:rsid w:val="00BF5C45"/>
    <w:rsid w:val="00BF5CD9"/>
    <w:rsid w:val="00BF68C1"/>
    <w:rsid w:val="00BF74C7"/>
    <w:rsid w:val="00C015F1"/>
    <w:rsid w:val="00C01631"/>
    <w:rsid w:val="00C01F33"/>
    <w:rsid w:val="00C02641"/>
    <w:rsid w:val="00C02CC6"/>
    <w:rsid w:val="00C03BDB"/>
    <w:rsid w:val="00C0402B"/>
    <w:rsid w:val="00C040F7"/>
    <w:rsid w:val="00C044AB"/>
    <w:rsid w:val="00C0553A"/>
    <w:rsid w:val="00C055F6"/>
    <w:rsid w:val="00C05706"/>
    <w:rsid w:val="00C067C8"/>
    <w:rsid w:val="00C06FB7"/>
    <w:rsid w:val="00C07377"/>
    <w:rsid w:val="00C07F8D"/>
    <w:rsid w:val="00C10478"/>
    <w:rsid w:val="00C11744"/>
    <w:rsid w:val="00C12107"/>
    <w:rsid w:val="00C12557"/>
    <w:rsid w:val="00C1276C"/>
    <w:rsid w:val="00C138A0"/>
    <w:rsid w:val="00C140A8"/>
    <w:rsid w:val="00C14321"/>
    <w:rsid w:val="00C143BF"/>
    <w:rsid w:val="00C14D4B"/>
    <w:rsid w:val="00C154BB"/>
    <w:rsid w:val="00C16327"/>
    <w:rsid w:val="00C16A9C"/>
    <w:rsid w:val="00C16C25"/>
    <w:rsid w:val="00C17770"/>
    <w:rsid w:val="00C17C3E"/>
    <w:rsid w:val="00C2104E"/>
    <w:rsid w:val="00C21216"/>
    <w:rsid w:val="00C21284"/>
    <w:rsid w:val="00C21564"/>
    <w:rsid w:val="00C21FEB"/>
    <w:rsid w:val="00C22656"/>
    <w:rsid w:val="00C234CF"/>
    <w:rsid w:val="00C279B5"/>
    <w:rsid w:val="00C27C45"/>
    <w:rsid w:val="00C27E0C"/>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51C3"/>
    <w:rsid w:val="00C45F5F"/>
    <w:rsid w:val="00C4638E"/>
    <w:rsid w:val="00C46D8B"/>
    <w:rsid w:val="00C473A5"/>
    <w:rsid w:val="00C51007"/>
    <w:rsid w:val="00C529A2"/>
    <w:rsid w:val="00C53A0C"/>
    <w:rsid w:val="00C53AE3"/>
    <w:rsid w:val="00C54501"/>
    <w:rsid w:val="00C54995"/>
    <w:rsid w:val="00C54D41"/>
    <w:rsid w:val="00C55327"/>
    <w:rsid w:val="00C56E86"/>
    <w:rsid w:val="00C57F39"/>
    <w:rsid w:val="00C60783"/>
    <w:rsid w:val="00C60B65"/>
    <w:rsid w:val="00C61AB1"/>
    <w:rsid w:val="00C61D4D"/>
    <w:rsid w:val="00C61E1D"/>
    <w:rsid w:val="00C624A5"/>
    <w:rsid w:val="00C6263D"/>
    <w:rsid w:val="00C6368F"/>
    <w:rsid w:val="00C639E0"/>
    <w:rsid w:val="00C64672"/>
    <w:rsid w:val="00C65046"/>
    <w:rsid w:val="00C65CF4"/>
    <w:rsid w:val="00C6607B"/>
    <w:rsid w:val="00C67807"/>
    <w:rsid w:val="00C7044D"/>
    <w:rsid w:val="00C70697"/>
    <w:rsid w:val="00C71C95"/>
    <w:rsid w:val="00C72093"/>
    <w:rsid w:val="00C7229A"/>
    <w:rsid w:val="00C729FD"/>
    <w:rsid w:val="00C72EF4"/>
    <w:rsid w:val="00C73D84"/>
    <w:rsid w:val="00C7406D"/>
    <w:rsid w:val="00C744FE"/>
    <w:rsid w:val="00C75125"/>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69"/>
    <w:rsid w:val="00C81568"/>
    <w:rsid w:val="00C835FA"/>
    <w:rsid w:val="00C8429C"/>
    <w:rsid w:val="00C8446C"/>
    <w:rsid w:val="00C84614"/>
    <w:rsid w:val="00C84953"/>
    <w:rsid w:val="00C8631D"/>
    <w:rsid w:val="00C86E38"/>
    <w:rsid w:val="00C8764B"/>
    <w:rsid w:val="00C87E63"/>
    <w:rsid w:val="00C9027A"/>
    <w:rsid w:val="00C9068E"/>
    <w:rsid w:val="00C90B3F"/>
    <w:rsid w:val="00C93607"/>
    <w:rsid w:val="00C93814"/>
    <w:rsid w:val="00C93938"/>
    <w:rsid w:val="00C93C4B"/>
    <w:rsid w:val="00C93EF9"/>
    <w:rsid w:val="00C944AB"/>
    <w:rsid w:val="00C94B9B"/>
    <w:rsid w:val="00C95283"/>
    <w:rsid w:val="00C95B40"/>
    <w:rsid w:val="00C9658B"/>
    <w:rsid w:val="00C96D2D"/>
    <w:rsid w:val="00CA01D3"/>
    <w:rsid w:val="00CA091F"/>
    <w:rsid w:val="00CA0E1B"/>
    <w:rsid w:val="00CA1444"/>
    <w:rsid w:val="00CA1BEE"/>
    <w:rsid w:val="00CA1ED8"/>
    <w:rsid w:val="00CA312E"/>
    <w:rsid w:val="00CA31DC"/>
    <w:rsid w:val="00CA33C6"/>
    <w:rsid w:val="00CA35A2"/>
    <w:rsid w:val="00CA35B7"/>
    <w:rsid w:val="00CA6125"/>
    <w:rsid w:val="00CB08B1"/>
    <w:rsid w:val="00CB0A43"/>
    <w:rsid w:val="00CB1610"/>
    <w:rsid w:val="00CB1F63"/>
    <w:rsid w:val="00CB2C1B"/>
    <w:rsid w:val="00CB3207"/>
    <w:rsid w:val="00CB32CF"/>
    <w:rsid w:val="00CB3979"/>
    <w:rsid w:val="00CB3AE4"/>
    <w:rsid w:val="00CB3E1D"/>
    <w:rsid w:val="00CB54B7"/>
    <w:rsid w:val="00CB5D3B"/>
    <w:rsid w:val="00CB61D8"/>
    <w:rsid w:val="00CB7170"/>
    <w:rsid w:val="00CC040E"/>
    <w:rsid w:val="00CC1082"/>
    <w:rsid w:val="00CC111F"/>
    <w:rsid w:val="00CC175A"/>
    <w:rsid w:val="00CC1ADE"/>
    <w:rsid w:val="00CC2011"/>
    <w:rsid w:val="00CC214C"/>
    <w:rsid w:val="00CC3A06"/>
    <w:rsid w:val="00CC3BD9"/>
    <w:rsid w:val="00CC3EA0"/>
    <w:rsid w:val="00CC462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E0073"/>
    <w:rsid w:val="00CE0249"/>
    <w:rsid w:val="00CE0424"/>
    <w:rsid w:val="00CE04C3"/>
    <w:rsid w:val="00CE0C92"/>
    <w:rsid w:val="00CE3844"/>
    <w:rsid w:val="00CE43D2"/>
    <w:rsid w:val="00CE4F59"/>
    <w:rsid w:val="00CE664F"/>
    <w:rsid w:val="00CE7073"/>
    <w:rsid w:val="00CE7125"/>
    <w:rsid w:val="00CE7561"/>
    <w:rsid w:val="00CE7AA3"/>
    <w:rsid w:val="00CE7C40"/>
    <w:rsid w:val="00CE7E69"/>
    <w:rsid w:val="00CE7E8A"/>
    <w:rsid w:val="00CF001A"/>
    <w:rsid w:val="00CF0491"/>
    <w:rsid w:val="00CF0704"/>
    <w:rsid w:val="00CF0F58"/>
    <w:rsid w:val="00CF1354"/>
    <w:rsid w:val="00CF3B1F"/>
    <w:rsid w:val="00CF3BF6"/>
    <w:rsid w:val="00CF5555"/>
    <w:rsid w:val="00CF625B"/>
    <w:rsid w:val="00CF687E"/>
    <w:rsid w:val="00CF7103"/>
    <w:rsid w:val="00CF7407"/>
    <w:rsid w:val="00CF7632"/>
    <w:rsid w:val="00CF7942"/>
    <w:rsid w:val="00D0148E"/>
    <w:rsid w:val="00D01638"/>
    <w:rsid w:val="00D02612"/>
    <w:rsid w:val="00D02BD3"/>
    <w:rsid w:val="00D03157"/>
    <w:rsid w:val="00D0315F"/>
    <w:rsid w:val="00D0349B"/>
    <w:rsid w:val="00D03580"/>
    <w:rsid w:val="00D04846"/>
    <w:rsid w:val="00D05046"/>
    <w:rsid w:val="00D05051"/>
    <w:rsid w:val="00D05717"/>
    <w:rsid w:val="00D0726B"/>
    <w:rsid w:val="00D0739A"/>
    <w:rsid w:val="00D10249"/>
    <w:rsid w:val="00D103CF"/>
    <w:rsid w:val="00D115C3"/>
    <w:rsid w:val="00D11897"/>
    <w:rsid w:val="00D128F9"/>
    <w:rsid w:val="00D12B9F"/>
    <w:rsid w:val="00D13135"/>
    <w:rsid w:val="00D13549"/>
    <w:rsid w:val="00D13E4E"/>
    <w:rsid w:val="00D13F04"/>
    <w:rsid w:val="00D143F2"/>
    <w:rsid w:val="00D14492"/>
    <w:rsid w:val="00D14ACA"/>
    <w:rsid w:val="00D1521A"/>
    <w:rsid w:val="00D15B42"/>
    <w:rsid w:val="00D15D67"/>
    <w:rsid w:val="00D1725E"/>
    <w:rsid w:val="00D21351"/>
    <w:rsid w:val="00D239A7"/>
    <w:rsid w:val="00D23F47"/>
    <w:rsid w:val="00D2420F"/>
    <w:rsid w:val="00D25233"/>
    <w:rsid w:val="00D2616C"/>
    <w:rsid w:val="00D26CF0"/>
    <w:rsid w:val="00D271D8"/>
    <w:rsid w:val="00D27EF7"/>
    <w:rsid w:val="00D319B3"/>
    <w:rsid w:val="00D3594B"/>
    <w:rsid w:val="00D367B4"/>
    <w:rsid w:val="00D36E71"/>
    <w:rsid w:val="00D37352"/>
    <w:rsid w:val="00D37D87"/>
    <w:rsid w:val="00D37EE4"/>
    <w:rsid w:val="00D40B33"/>
    <w:rsid w:val="00D40EA3"/>
    <w:rsid w:val="00D413D4"/>
    <w:rsid w:val="00D4193E"/>
    <w:rsid w:val="00D41CE8"/>
    <w:rsid w:val="00D4318F"/>
    <w:rsid w:val="00D436D8"/>
    <w:rsid w:val="00D438BF"/>
    <w:rsid w:val="00D43F9F"/>
    <w:rsid w:val="00D440F8"/>
    <w:rsid w:val="00D44DEF"/>
    <w:rsid w:val="00D44F77"/>
    <w:rsid w:val="00D45075"/>
    <w:rsid w:val="00D46398"/>
    <w:rsid w:val="00D47355"/>
    <w:rsid w:val="00D47DDA"/>
    <w:rsid w:val="00D500A5"/>
    <w:rsid w:val="00D50146"/>
    <w:rsid w:val="00D5096F"/>
    <w:rsid w:val="00D53863"/>
    <w:rsid w:val="00D53D07"/>
    <w:rsid w:val="00D53E12"/>
    <w:rsid w:val="00D543FA"/>
    <w:rsid w:val="00D546FF"/>
    <w:rsid w:val="00D54735"/>
    <w:rsid w:val="00D54C18"/>
    <w:rsid w:val="00D55AD5"/>
    <w:rsid w:val="00D55D93"/>
    <w:rsid w:val="00D56C4A"/>
    <w:rsid w:val="00D56D1F"/>
    <w:rsid w:val="00D576CA"/>
    <w:rsid w:val="00D61826"/>
    <w:rsid w:val="00D61AF5"/>
    <w:rsid w:val="00D62056"/>
    <w:rsid w:val="00D62B99"/>
    <w:rsid w:val="00D63CE5"/>
    <w:rsid w:val="00D63FF5"/>
    <w:rsid w:val="00D64801"/>
    <w:rsid w:val="00D652B5"/>
    <w:rsid w:val="00D65D2A"/>
    <w:rsid w:val="00D66155"/>
    <w:rsid w:val="00D669FE"/>
    <w:rsid w:val="00D66AD1"/>
    <w:rsid w:val="00D67454"/>
    <w:rsid w:val="00D708B0"/>
    <w:rsid w:val="00D708D5"/>
    <w:rsid w:val="00D70D90"/>
    <w:rsid w:val="00D70EB2"/>
    <w:rsid w:val="00D712F7"/>
    <w:rsid w:val="00D71F67"/>
    <w:rsid w:val="00D732FE"/>
    <w:rsid w:val="00D74294"/>
    <w:rsid w:val="00D74F1B"/>
    <w:rsid w:val="00D769CE"/>
    <w:rsid w:val="00D77B1D"/>
    <w:rsid w:val="00D8021F"/>
    <w:rsid w:val="00D80383"/>
    <w:rsid w:val="00D811C0"/>
    <w:rsid w:val="00D81594"/>
    <w:rsid w:val="00D823C6"/>
    <w:rsid w:val="00D8268A"/>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E13"/>
    <w:rsid w:val="00DA07F6"/>
    <w:rsid w:val="00DA0989"/>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377D"/>
    <w:rsid w:val="00DB4B63"/>
    <w:rsid w:val="00DB5D45"/>
    <w:rsid w:val="00DB6517"/>
    <w:rsid w:val="00DC008A"/>
    <w:rsid w:val="00DC0FBA"/>
    <w:rsid w:val="00DC2D36"/>
    <w:rsid w:val="00DC2E88"/>
    <w:rsid w:val="00DC33BC"/>
    <w:rsid w:val="00DC39AC"/>
    <w:rsid w:val="00DC3DCF"/>
    <w:rsid w:val="00DC3E4A"/>
    <w:rsid w:val="00DC4AF4"/>
    <w:rsid w:val="00DC4B58"/>
    <w:rsid w:val="00DC53EF"/>
    <w:rsid w:val="00DC569A"/>
    <w:rsid w:val="00DC5BA4"/>
    <w:rsid w:val="00DC6594"/>
    <w:rsid w:val="00DD1DD0"/>
    <w:rsid w:val="00DD4BDB"/>
    <w:rsid w:val="00DD5F15"/>
    <w:rsid w:val="00DD70BA"/>
    <w:rsid w:val="00DD7B4A"/>
    <w:rsid w:val="00DE0C54"/>
    <w:rsid w:val="00DE4FC1"/>
    <w:rsid w:val="00DE5395"/>
    <w:rsid w:val="00DE5608"/>
    <w:rsid w:val="00DE58D0"/>
    <w:rsid w:val="00DE5B94"/>
    <w:rsid w:val="00DE654F"/>
    <w:rsid w:val="00DE6CB5"/>
    <w:rsid w:val="00DE76AB"/>
    <w:rsid w:val="00DF0696"/>
    <w:rsid w:val="00DF0B6E"/>
    <w:rsid w:val="00DF15E0"/>
    <w:rsid w:val="00DF1C07"/>
    <w:rsid w:val="00DF3208"/>
    <w:rsid w:val="00DF36A3"/>
    <w:rsid w:val="00DF37A0"/>
    <w:rsid w:val="00DF3F85"/>
    <w:rsid w:val="00DF4839"/>
    <w:rsid w:val="00DF59D1"/>
    <w:rsid w:val="00DF616A"/>
    <w:rsid w:val="00DF7FB4"/>
    <w:rsid w:val="00E0153F"/>
    <w:rsid w:val="00E02297"/>
    <w:rsid w:val="00E03B4A"/>
    <w:rsid w:val="00E047C0"/>
    <w:rsid w:val="00E07A90"/>
    <w:rsid w:val="00E1066F"/>
    <w:rsid w:val="00E10CD6"/>
    <w:rsid w:val="00E110E7"/>
    <w:rsid w:val="00E113A7"/>
    <w:rsid w:val="00E1168B"/>
    <w:rsid w:val="00E11B20"/>
    <w:rsid w:val="00E13E98"/>
    <w:rsid w:val="00E14C93"/>
    <w:rsid w:val="00E14F22"/>
    <w:rsid w:val="00E153FE"/>
    <w:rsid w:val="00E15AB8"/>
    <w:rsid w:val="00E15BA5"/>
    <w:rsid w:val="00E15D54"/>
    <w:rsid w:val="00E16CA7"/>
    <w:rsid w:val="00E16FDA"/>
    <w:rsid w:val="00E17168"/>
    <w:rsid w:val="00E17FA2"/>
    <w:rsid w:val="00E20B06"/>
    <w:rsid w:val="00E2132E"/>
    <w:rsid w:val="00E22330"/>
    <w:rsid w:val="00E233AE"/>
    <w:rsid w:val="00E23A35"/>
    <w:rsid w:val="00E24345"/>
    <w:rsid w:val="00E2439D"/>
    <w:rsid w:val="00E27300"/>
    <w:rsid w:val="00E273CE"/>
    <w:rsid w:val="00E30B5A"/>
    <w:rsid w:val="00E3123D"/>
    <w:rsid w:val="00E3135D"/>
    <w:rsid w:val="00E31461"/>
    <w:rsid w:val="00E31D43"/>
    <w:rsid w:val="00E32608"/>
    <w:rsid w:val="00E32AE0"/>
    <w:rsid w:val="00E32BBF"/>
    <w:rsid w:val="00E32D66"/>
    <w:rsid w:val="00E3317F"/>
    <w:rsid w:val="00E3384E"/>
    <w:rsid w:val="00E34188"/>
    <w:rsid w:val="00E34B6E"/>
    <w:rsid w:val="00E353AE"/>
    <w:rsid w:val="00E35559"/>
    <w:rsid w:val="00E3555A"/>
    <w:rsid w:val="00E370AA"/>
    <w:rsid w:val="00E3723A"/>
    <w:rsid w:val="00E37860"/>
    <w:rsid w:val="00E37F0D"/>
    <w:rsid w:val="00E42D29"/>
    <w:rsid w:val="00E42EBA"/>
    <w:rsid w:val="00E4303A"/>
    <w:rsid w:val="00E43397"/>
    <w:rsid w:val="00E436D5"/>
    <w:rsid w:val="00E43E50"/>
    <w:rsid w:val="00E44384"/>
    <w:rsid w:val="00E446F1"/>
    <w:rsid w:val="00E44D5F"/>
    <w:rsid w:val="00E46886"/>
    <w:rsid w:val="00E47A14"/>
    <w:rsid w:val="00E47AEF"/>
    <w:rsid w:val="00E512FF"/>
    <w:rsid w:val="00E51AC1"/>
    <w:rsid w:val="00E51E04"/>
    <w:rsid w:val="00E51F22"/>
    <w:rsid w:val="00E53486"/>
    <w:rsid w:val="00E536B1"/>
    <w:rsid w:val="00E53B75"/>
    <w:rsid w:val="00E53DB0"/>
    <w:rsid w:val="00E5429E"/>
    <w:rsid w:val="00E54E3B"/>
    <w:rsid w:val="00E57565"/>
    <w:rsid w:val="00E605AA"/>
    <w:rsid w:val="00E60716"/>
    <w:rsid w:val="00E61363"/>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3E3"/>
    <w:rsid w:val="00E8043B"/>
    <w:rsid w:val="00E815CC"/>
    <w:rsid w:val="00E8234C"/>
    <w:rsid w:val="00E829E7"/>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69"/>
    <w:rsid w:val="00E90E49"/>
    <w:rsid w:val="00E90E50"/>
    <w:rsid w:val="00E913B6"/>
    <w:rsid w:val="00E917F9"/>
    <w:rsid w:val="00E91AF4"/>
    <w:rsid w:val="00E921E1"/>
    <w:rsid w:val="00E9224F"/>
    <w:rsid w:val="00E9291C"/>
    <w:rsid w:val="00E92A78"/>
    <w:rsid w:val="00E92C50"/>
    <w:rsid w:val="00E93B01"/>
    <w:rsid w:val="00E93FFE"/>
    <w:rsid w:val="00E94F8A"/>
    <w:rsid w:val="00E96B56"/>
    <w:rsid w:val="00E9725A"/>
    <w:rsid w:val="00E973DB"/>
    <w:rsid w:val="00E97A53"/>
    <w:rsid w:val="00EA07AD"/>
    <w:rsid w:val="00EA0A9F"/>
    <w:rsid w:val="00EA2663"/>
    <w:rsid w:val="00EA27C6"/>
    <w:rsid w:val="00EA5D55"/>
    <w:rsid w:val="00EA639A"/>
    <w:rsid w:val="00EA66A8"/>
    <w:rsid w:val="00EA6BEC"/>
    <w:rsid w:val="00EA7A41"/>
    <w:rsid w:val="00EB077B"/>
    <w:rsid w:val="00EB1A03"/>
    <w:rsid w:val="00EB4D5F"/>
    <w:rsid w:val="00EB4EA2"/>
    <w:rsid w:val="00EB5225"/>
    <w:rsid w:val="00EB5CE7"/>
    <w:rsid w:val="00EB6EEE"/>
    <w:rsid w:val="00EB7261"/>
    <w:rsid w:val="00EB7836"/>
    <w:rsid w:val="00EC033F"/>
    <w:rsid w:val="00EC1000"/>
    <w:rsid w:val="00EC24D5"/>
    <w:rsid w:val="00EC2503"/>
    <w:rsid w:val="00EC27C6"/>
    <w:rsid w:val="00EC34E7"/>
    <w:rsid w:val="00EC4016"/>
    <w:rsid w:val="00EC4207"/>
    <w:rsid w:val="00EC457C"/>
    <w:rsid w:val="00EC5653"/>
    <w:rsid w:val="00EC6A56"/>
    <w:rsid w:val="00EC71CE"/>
    <w:rsid w:val="00ED00C8"/>
    <w:rsid w:val="00ED0C02"/>
    <w:rsid w:val="00ED1006"/>
    <w:rsid w:val="00ED2BC8"/>
    <w:rsid w:val="00ED38F8"/>
    <w:rsid w:val="00ED3AFF"/>
    <w:rsid w:val="00ED3C84"/>
    <w:rsid w:val="00ED61B9"/>
    <w:rsid w:val="00ED67A5"/>
    <w:rsid w:val="00ED7400"/>
    <w:rsid w:val="00EE04B8"/>
    <w:rsid w:val="00EE1025"/>
    <w:rsid w:val="00EE1241"/>
    <w:rsid w:val="00EE1DEA"/>
    <w:rsid w:val="00EE21D8"/>
    <w:rsid w:val="00EE2EDA"/>
    <w:rsid w:val="00EE39B6"/>
    <w:rsid w:val="00EE425E"/>
    <w:rsid w:val="00EE47BE"/>
    <w:rsid w:val="00EE4A4A"/>
    <w:rsid w:val="00EE6B43"/>
    <w:rsid w:val="00EE7F09"/>
    <w:rsid w:val="00EF0467"/>
    <w:rsid w:val="00EF0C80"/>
    <w:rsid w:val="00EF126B"/>
    <w:rsid w:val="00EF18FE"/>
    <w:rsid w:val="00EF24FC"/>
    <w:rsid w:val="00EF2FFD"/>
    <w:rsid w:val="00EF324A"/>
    <w:rsid w:val="00EF3EF0"/>
    <w:rsid w:val="00EF512A"/>
    <w:rsid w:val="00EF5787"/>
    <w:rsid w:val="00EF592C"/>
    <w:rsid w:val="00EF5CAA"/>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2712"/>
    <w:rsid w:val="00F13D84"/>
    <w:rsid w:val="00F15FA5"/>
    <w:rsid w:val="00F16370"/>
    <w:rsid w:val="00F17001"/>
    <w:rsid w:val="00F178E3"/>
    <w:rsid w:val="00F17996"/>
    <w:rsid w:val="00F208FC"/>
    <w:rsid w:val="00F209B7"/>
    <w:rsid w:val="00F21115"/>
    <w:rsid w:val="00F219DC"/>
    <w:rsid w:val="00F21BC1"/>
    <w:rsid w:val="00F21EA7"/>
    <w:rsid w:val="00F22684"/>
    <w:rsid w:val="00F23142"/>
    <w:rsid w:val="00F2376F"/>
    <w:rsid w:val="00F243D8"/>
    <w:rsid w:val="00F25F7C"/>
    <w:rsid w:val="00F26660"/>
    <w:rsid w:val="00F27FA4"/>
    <w:rsid w:val="00F30828"/>
    <w:rsid w:val="00F309EB"/>
    <w:rsid w:val="00F30D5F"/>
    <w:rsid w:val="00F313D6"/>
    <w:rsid w:val="00F3237F"/>
    <w:rsid w:val="00F33ED4"/>
    <w:rsid w:val="00F35BC0"/>
    <w:rsid w:val="00F36546"/>
    <w:rsid w:val="00F37258"/>
    <w:rsid w:val="00F3781A"/>
    <w:rsid w:val="00F40519"/>
    <w:rsid w:val="00F40F0C"/>
    <w:rsid w:val="00F412A0"/>
    <w:rsid w:val="00F41DE3"/>
    <w:rsid w:val="00F42563"/>
    <w:rsid w:val="00F42980"/>
    <w:rsid w:val="00F44A7E"/>
    <w:rsid w:val="00F44B85"/>
    <w:rsid w:val="00F44BFA"/>
    <w:rsid w:val="00F45201"/>
    <w:rsid w:val="00F46576"/>
    <w:rsid w:val="00F473B6"/>
    <w:rsid w:val="00F4766C"/>
    <w:rsid w:val="00F47F54"/>
    <w:rsid w:val="00F503DB"/>
    <w:rsid w:val="00F5060E"/>
    <w:rsid w:val="00F507D1"/>
    <w:rsid w:val="00F50BCA"/>
    <w:rsid w:val="00F516EA"/>
    <w:rsid w:val="00F519CE"/>
    <w:rsid w:val="00F51ADA"/>
    <w:rsid w:val="00F52357"/>
    <w:rsid w:val="00F53CA2"/>
    <w:rsid w:val="00F53EE8"/>
    <w:rsid w:val="00F557AB"/>
    <w:rsid w:val="00F56DCC"/>
    <w:rsid w:val="00F60203"/>
    <w:rsid w:val="00F602C7"/>
    <w:rsid w:val="00F607C5"/>
    <w:rsid w:val="00F60DEA"/>
    <w:rsid w:val="00F61D56"/>
    <w:rsid w:val="00F6302A"/>
    <w:rsid w:val="00F63950"/>
    <w:rsid w:val="00F64C2B"/>
    <w:rsid w:val="00F651BE"/>
    <w:rsid w:val="00F66161"/>
    <w:rsid w:val="00F67DBF"/>
    <w:rsid w:val="00F67F53"/>
    <w:rsid w:val="00F67FE2"/>
    <w:rsid w:val="00F703BE"/>
    <w:rsid w:val="00F70D6A"/>
    <w:rsid w:val="00F71D83"/>
    <w:rsid w:val="00F71F69"/>
    <w:rsid w:val="00F72B72"/>
    <w:rsid w:val="00F72C52"/>
    <w:rsid w:val="00F72DB8"/>
    <w:rsid w:val="00F7319E"/>
    <w:rsid w:val="00F746B5"/>
    <w:rsid w:val="00F74BB9"/>
    <w:rsid w:val="00F75582"/>
    <w:rsid w:val="00F75CC4"/>
    <w:rsid w:val="00F7658B"/>
    <w:rsid w:val="00F76EFA"/>
    <w:rsid w:val="00F804BE"/>
    <w:rsid w:val="00F80B1E"/>
    <w:rsid w:val="00F817CE"/>
    <w:rsid w:val="00F822D6"/>
    <w:rsid w:val="00F83192"/>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54FB"/>
    <w:rsid w:val="00F95861"/>
    <w:rsid w:val="00F96985"/>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A9"/>
    <w:rsid w:val="00FB026A"/>
    <w:rsid w:val="00FB0EC6"/>
    <w:rsid w:val="00FB21D6"/>
    <w:rsid w:val="00FB32B1"/>
    <w:rsid w:val="00FB4512"/>
    <w:rsid w:val="00FB4C80"/>
    <w:rsid w:val="00FB5BD6"/>
    <w:rsid w:val="00FB5CBE"/>
    <w:rsid w:val="00FB671D"/>
    <w:rsid w:val="00FB6A6A"/>
    <w:rsid w:val="00FB74F2"/>
    <w:rsid w:val="00FB76E6"/>
    <w:rsid w:val="00FB78D9"/>
    <w:rsid w:val="00FB791E"/>
    <w:rsid w:val="00FC1780"/>
    <w:rsid w:val="00FC1BF0"/>
    <w:rsid w:val="00FC206D"/>
    <w:rsid w:val="00FC27CC"/>
    <w:rsid w:val="00FC2A7D"/>
    <w:rsid w:val="00FC7429"/>
    <w:rsid w:val="00FC7598"/>
    <w:rsid w:val="00FD062D"/>
    <w:rsid w:val="00FD07F6"/>
    <w:rsid w:val="00FD1EC8"/>
    <w:rsid w:val="00FD20F3"/>
    <w:rsid w:val="00FD2305"/>
    <w:rsid w:val="00FD3D13"/>
    <w:rsid w:val="00FD47ED"/>
    <w:rsid w:val="00FD4888"/>
    <w:rsid w:val="00FD4F1F"/>
    <w:rsid w:val="00FD54BE"/>
    <w:rsid w:val="00FD54D4"/>
    <w:rsid w:val="00FD5E31"/>
    <w:rsid w:val="00FD6338"/>
    <w:rsid w:val="00FD69F0"/>
    <w:rsid w:val="00FD6C50"/>
    <w:rsid w:val="00FD74DB"/>
    <w:rsid w:val="00FD7660"/>
    <w:rsid w:val="00FE0655"/>
    <w:rsid w:val="00FE14AB"/>
    <w:rsid w:val="00FE17C3"/>
    <w:rsid w:val="00FE2365"/>
    <w:rsid w:val="00FE2B77"/>
    <w:rsid w:val="00FE37D7"/>
    <w:rsid w:val="00FE44B9"/>
    <w:rsid w:val="00FE450C"/>
    <w:rsid w:val="00FE4C7B"/>
    <w:rsid w:val="00FE69E2"/>
    <w:rsid w:val="00FE7336"/>
    <w:rsid w:val="00FE787C"/>
    <w:rsid w:val="00FF09B0"/>
    <w:rsid w:val="00FF12E9"/>
    <w:rsid w:val="00FF1875"/>
    <w:rsid w:val="00FF1D1B"/>
    <w:rsid w:val="00FF3478"/>
    <w:rsid w:val="00FF3D0C"/>
    <w:rsid w:val="00FF45A5"/>
    <w:rsid w:val="00FF53D1"/>
    <w:rsid w:val="00FF5C91"/>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3F071B"/>
    <w:rPr>
      <w:color w:val="605E5C"/>
      <w:shd w:val="clear" w:color="auto" w:fill="E1DFDD"/>
    </w:rPr>
  </w:style>
  <w:style w:type="character" w:styleId="Mention">
    <w:name w:val="Mention"/>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3C7C8F90-A680-45BF-A7B2-374F69C6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8389</Words>
  <Characters>44465</Characters>
  <Application>Microsoft Office Word</Application>
  <DocSecurity>0</DocSecurity>
  <Lines>370</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2021-11-05T21:05:00Z</dcterms:created>
  <dcterms:modified xsi:type="dcterms:W3CDTF">2021-11-05T21:07:00Z</dcterms:modified>
  <cp:category/>
</cp:coreProperties>
</file>